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55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50"/>
        <w:gridCol w:w="4851"/>
        <w:gridCol w:w="4851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14552"/>
            <w:gridSpan w:val="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hAnsi="Helvetica" w:hint="default"/>
                <w:b w:val="1"/>
                <w:bCs w:val="1"/>
                <w:sz w:val="22"/>
                <w:szCs w:val="22"/>
                <w:rtl w:val="0"/>
              </w:rPr>
              <w:t>§</w:t>
            </w: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21.1 Waardoor brak een opstand uit in de Nederlanden, 1515-1648?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Voorbeeld</w:t>
            </w:r>
          </w:p>
        </w:tc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Gebeurtenis</w:t>
            </w:r>
          </w:p>
        </w:tc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Waardoor brak de opstand uit?</w:t>
            </w:r>
          </w:p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Luther verschijnt voor de Rijksdag in Worms (1521)</w:t>
            </w:r>
          </w:p>
        </w:tc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Instelling van drie Collaterale Raden (1531)</w:t>
            </w:r>
          </w:p>
        </w:tc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Instelling van de Bloedplakkaten (1550)</w:t>
            </w:r>
          </w:p>
        </w:tc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4552"/>
            <w:gridSpan w:val="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hAnsi="Helvetica" w:hint="default"/>
                <w:b w:val="1"/>
                <w:bCs w:val="1"/>
                <w:sz w:val="22"/>
                <w:szCs w:val="22"/>
                <w:rtl w:val="0"/>
              </w:rPr>
              <w:t>§</w:t>
            </w: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1.2 Waardoor resulteerde de Opstand in het ontstaan van de Repubiek, 1572-1588?</w:t>
            </w:r>
          </w:p>
        </w:tc>
      </w:tr>
      <w:tr>
        <w:tblPrEx>
          <w:shd w:val="clear" w:color="auto" w:fill="auto"/>
        </w:tblPrEx>
        <w:trPr>
          <w:trHeight w:val="540" w:hRule="atLeast"/>
        </w:trPr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Voorbeeld</w:t>
            </w:r>
          </w:p>
        </w:tc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Gebeurtenis</w:t>
            </w:r>
          </w:p>
        </w:tc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Waardoor resulteerde de Opstand in het ontstaan van de Republiek?</w:t>
            </w:r>
          </w:p>
        </w:tc>
      </w:tr>
      <w:tr>
        <w:tblPrEx>
          <w:shd w:val="clear" w:color="auto" w:fill="auto"/>
        </w:tblPrEx>
        <w:trPr>
          <w:trHeight w:val="742" w:hRule="atLeast"/>
        </w:trPr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Het ontzet van Leiden (1574)</w:t>
            </w:r>
          </w:p>
        </w:tc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60" w:hRule="atLeast"/>
        </w:trPr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De Alteratie van Amsterdam (1578)</w:t>
            </w:r>
          </w:p>
        </w:tc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60" w:hRule="atLeast"/>
        </w:trPr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Plakkaat van Verlatinge (1581)</w:t>
            </w: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60" w:hRule="atLeast"/>
        </w:trPr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De Spaanse Armada wordt verslagen (1588)</w:t>
            </w: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4552"/>
            <w:gridSpan w:val="3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hAnsi="Helvetica" w:hint="default"/>
                <w:b w:val="1"/>
                <w:bCs w:val="1"/>
                <w:sz w:val="22"/>
                <w:szCs w:val="22"/>
                <w:rtl w:val="0"/>
              </w:rPr>
              <w:t>§</w:t>
            </w: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1.3 Waardoor ontstond in de Republiek de Gouden Eeuw, 1588-1648?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Voorbeeld</w:t>
            </w:r>
          </w:p>
        </w:tc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Gebeurtenis</w:t>
            </w:r>
          </w:p>
        </w:tc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Waardoor ontstond de Gouden Eeuw?</w:t>
            </w:r>
          </w:p>
        </w:tc>
      </w:tr>
      <w:tr>
        <w:tblPrEx>
          <w:shd w:val="clear" w:color="auto" w:fill="auto"/>
        </w:tblPrEx>
        <w:trPr>
          <w:trHeight w:val="1320" w:hRule="atLeast"/>
        </w:trPr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Coen verplaatst het bestuurscentrum van de VOC naar Batavia (1619)</w:t>
            </w:r>
          </w:p>
        </w:tc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80" w:hRule="atLeast"/>
        </w:trPr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Johan van Oldenbarneveldt wordt vermoord (1619)</w:t>
            </w:r>
          </w:p>
        </w:tc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80" w:hRule="atLeast"/>
        </w:trPr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"/>
                <w:sz w:val="22"/>
                <w:szCs w:val="22"/>
                <w:rtl w:val="0"/>
              </w:rPr>
              <w:t>Bouw Portugees-Joodse synagoge in Amsterdam (1639, 1671)</w:t>
            </w:r>
          </w:p>
        </w:tc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  <w:p>
            <w:pPr>
              <w:pStyle w:val="Tabelstijl 2"/>
            </w:pPr>
          </w:p>
        </w:tc>
        <w:tc>
          <w:tcPr>
            <w:tcW w:type="dxa" w:w="485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"/>
        <w:bidi w:val="0"/>
      </w:pPr>
      <w:r>
        <w:br w:type="page"/>
      </w:r>
    </w:p>
    <w:p>
      <w:pPr>
        <w:pStyle w:val="Hoofdtekst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