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222A5" w:rsidRPr="00EF3984" w14:paraId="623D85BF" w14:textId="77777777" w:rsidTr="00F222A5">
        <w:tc>
          <w:tcPr>
            <w:tcW w:w="2689" w:type="dxa"/>
            <w:shd w:val="clear" w:color="auto" w:fill="70AD47" w:themeFill="accent6"/>
          </w:tcPr>
          <w:p w14:paraId="78DD1CF6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Titel van het mysterie</w:t>
            </w:r>
          </w:p>
          <w:p w14:paraId="55AD09B8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373" w:type="dxa"/>
            <w:shd w:val="clear" w:color="auto" w:fill="C5E0B3" w:themeFill="accent6" w:themeFillTint="66"/>
          </w:tcPr>
          <w:p w14:paraId="6A5AB786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ontdekte vluchttunnel van Oost- naar West-Berlijn, ten tijde van de Koude Oorlog</w:t>
            </w:r>
          </w:p>
          <w:p w14:paraId="353F8E29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222A5" w:rsidRPr="00EF3984" w14:paraId="2BB7E9D0" w14:textId="77777777" w:rsidTr="00F222A5">
        <w:tc>
          <w:tcPr>
            <w:tcW w:w="2689" w:type="dxa"/>
            <w:shd w:val="clear" w:color="auto" w:fill="70AD47" w:themeFill="accent6"/>
          </w:tcPr>
          <w:p w14:paraId="6D40DBD5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Onderwerpen 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6C3E6659" w14:textId="4F665949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Het leven van ‘gewone mensen’, zowel vrouwen als mannen, in Oost- en West-Berlijn ten tijde van de Koude Oorlog</w:t>
            </w:r>
          </w:p>
          <w:p w14:paraId="30E95ACB" w14:textId="381EA33A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Communisme versus kapitalisme</w:t>
            </w:r>
          </w:p>
          <w:p w14:paraId="034CFE55" w14:textId="44D12356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De rol van propaganda en spionage </w:t>
            </w:r>
          </w:p>
          <w:p w14:paraId="3BC5BB86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222A5" w:rsidRPr="00EF3984" w14:paraId="1233B71D" w14:textId="77777777" w:rsidTr="00F222A5">
        <w:tc>
          <w:tcPr>
            <w:tcW w:w="2689" w:type="dxa"/>
            <w:shd w:val="clear" w:color="auto" w:fill="70AD47" w:themeFill="accent6"/>
          </w:tcPr>
          <w:p w14:paraId="49918AC8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Kenmerkende aspecten</w:t>
            </w:r>
          </w:p>
          <w:p w14:paraId="6F85F9AA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(die in deze les op één of andere manier aan bod komen)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01C7D4E4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37. De rol van moderne propaganda- en communicatiemiddelen en vormen van massaorganisatie.</w:t>
            </w:r>
          </w:p>
          <w:p w14:paraId="6A3ED21E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38. Het in praktijk brengen van de totalitaire ideologieën communisme en fascisme/nationaalsocialisme.</w:t>
            </w:r>
          </w:p>
          <w:p w14:paraId="070FB7F3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45. De verdeling van de wereld in twee ideologische blokken in de greep van een wapenwedloop en de daaruit voortvloeiende dreiging van een atoomoorlog.</w:t>
            </w:r>
          </w:p>
          <w:p w14:paraId="011090BD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48. De toenemende westerse welvaart die vanaf de jaren zestig van de 20e eeuw aanleiding gaf tot ingrijpende sociaal-culturele veranderingsprocessen. </w:t>
            </w:r>
          </w:p>
          <w:p w14:paraId="738D639F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222A5" w:rsidRPr="00EF3984" w14:paraId="76276C3C" w14:textId="77777777" w:rsidTr="00F222A5">
        <w:tc>
          <w:tcPr>
            <w:tcW w:w="2689" w:type="dxa"/>
            <w:shd w:val="clear" w:color="auto" w:fill="70AD47" w:themeFill="accent6"/>
          </w:tcPr>
          <w:p w14:paraId="65048536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Activiteit </w:t>
            </w:r>
          </w:p>
          <w:p w14:paraId="797752DD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(het middel waarmee de doelen moeten worden bereikt)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71B2D7DA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Leerlingen gaan in twee- of drietallen aan de hand van het mysterie op zoek naar de persoon die ervoor kan hebben gezorgd dat de vluchttunnel is ontdekt. </w:t>
            </w:r>
          </w:p>
          <w:p w14:paraId="750FB1DD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222A5" w:rsidRPr="00EF3984" w14:paraId="77AE7758" w14:textId="77777777" w:rsidTr="00F222A5">
        <w:tc>
          <w:tcPr>
            <w:tcW w:w="2689" w:type="dxa"/>
            <w:shd w:val="clear" w:color="auto" w:fill="70AD47" w:themeFill="accent6"/>
          </w:tcPr>
          <w:p w14:paraId="61702ADD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Doelen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27293DDF" w14:textId="2A322277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Doordat de leerlingen zich inleven in de personen, hebben zij een helder beeld van hoe het leven van gewone mensen in Oost-Berlijn ten tijde van de Koude Oorlog</w:t>
            </w:r>
            <w:r w:rsidR="00EF398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eruitzag.</w:t>
            </w:r>
          </w:p>
          <w:p w14:paraId="743768D4" w14:textId="6060F0F1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Leerlingen kunnen constructief samenwerken</w:t>
            </w:r>
            <w:r w:rsidR="00237DF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0CBD7E89" w14:textId="020832DC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Leerlingen leren uit een hoeveelheid materiaal te selecteren en te classificeren</w:t>
            </w:r>
            <w:r w:rsidR="00237DF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5CAC0870" w14:textId="0F93C537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Leerlingen kunnen aangeven welke denkstappen zij hebben gezet en hoe zij tot een oplossing met argumentatie zijn gekomen</w:t>
            </w:r>
            <w:r w:rsidR="00237DF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4ECC9325" w14:textId="6017CFF3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Leerlingen leren kritisch bronnen te bestuderen. Zij denken na over de betrouwbaarheid en de bruikbaarheid van bronnen.</w:t>
            </w:r>
          </w:p>
          <w:p w14:paraId="16D11619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E0D8D4C" w14:textId="5462739B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Aan het begin van de les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kunnen </w:t>
            </w: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de doelen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worden getoond</w:t>
            </w: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en </w:t>
            </w:r>
            <w:r w:rsidR="00237D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aan de leerlingen </w:t>
            </w: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duidelijk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worden gemaakt</w:t>
            </w:r>
            <w:r w:rsidR="00237D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.</w:t>
            </w:r>
          </w:p>
          <w:p w14:paraId="28F26F8F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222A5" w:rsidRPr="00EF3984" w14:paraId="73834FD6" w14:textId="77777777" w:rsidTr="00F222A5">
        <w:tc>
          <w:tcPr>
            <w:tcW w:w="2689" w:type="dxa"/>
            <w:shd w:val="clear" w:color="auto" w:fill="70AD47" w:themeFill="accent6"/>
          </w:tcPr>
          <w:p w14:paraId="7B256639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Beginsituatie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64CF9144" w14:textId="0AEC9BA8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Verschilt per klas</w:t>
            </w:r>
            <w:r w:rsidR="00237DF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maar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de klas werkt in ieder geval al een aantal lessen aan de HC Duitsland in Europa (1918-1991). De leerlingen weten het één en ander over de Koude Oorlog, Berlijn en de verdeling van de wereld in twee ideologische blokken.</w:t>
            </w:r>
          </w:p>
          <w:p w14:paraId="0A04C196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222A5" w:rsidRPr="00EF3984" w14:paraId="3C73B243" w14:textId="77777777" w:rsidTr="00F222A5">
        <w:tc>
          <w:tcPr>
            <w:tcW w:w="2689" w:type="dxa"/>
            <w:shd w:val="clear" w:color="auto" w:fill="70AD47" w:themeFill="accent6"/>
          </w:tcPr>
          <w:p w14:paraId="0F9AB55D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Voorbereiding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3D2C6490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Bij 30 leerlingen, die in groepjes van twee of drie werken:</w:t>
            </w:r>
          </w:p>
          <w:p w14:paraId="6B1AAF7E" w14:textId="4F4219BC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 of 15x de mysteries kopiëren</w:t>
            </w:r>
          </w:p>
          <w:p w14:paraId="79CB640A" w14:textId="3B24E6A9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30x de opdrachtenbladen kopiëren</w:t>
            </w:r>
          </w:p>
          <w:p w14:paraId="6A5D3EFC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AC9C9CC" w14:textId="11B1BAF0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bronnen kunnen eventueel…</w:t>
            </w:r>
          </w:p>
          <w:p w14:paraId="7A4F5BD1" w14:textId="1FBFF135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worden losgeknipt, zodat leerlingen er mee kunnen schuiven en zodoende kunnen ordenen. </w:t>
            </w:r>
          </w:p>
          <w:p w14:paraId="5182506B" w14:textId="340D59A3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in delen worden aangereikt, om het behapbaar te maken.</w:t>
            </w:r>
          </w:p>
          <w:p w14:paraId="0F53FD81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430EF2B" w14:textId="642B0B3F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Bij online les: vroegtijdig digitaal aanbieden van het mysterie</w:t>
            </w:r>
            <w:r w:rsidR="004264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.</w:t>
            </w:r>
          </w:p>
          <w:p w14:paraId="04540C08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75E465B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Mogelijkheid: de video </w:t>
            </w:r>
            <w:hyperlink r:id="rId5" w:history="1">
              <w:r w:rsidRPr="00F222A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nl-NL"/>
                </w:rPr>
                <w:t>https://nos.nl/video/264093-het-leven-in-de-ddr.html</w:t>
              </w:r>
            </w:hyperlink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aan het eind van een eerdere les laten zien, waarop deze les, met het mysterie, kan worden ingehaakt.</w:t>
            </w:r>
          </w:p>
          <w:p w14:paraId="66BDD46B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Andere mogelijkheden: aan het begin van deze les, of tijdens een tussenbespreking.</w:t>
            </w:r>
          </w:p>
          <w:p w14:paraId="1B8AF207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222A5" w:rsidRPr="00EF3984" w14:paraId="1866AA5F" w14:textId="77777777" w:rsidTr="00F222A5">
        <w:tc>
          <w:tcPr>
            <w:tcW w:w="2689" w:type="dxa"/>
            <w:shd w:val="clear" w:color="auto" w:fill="70AD47" w:themeFill="accent6"/>
          </w:tcPr>
          <w:p w14:paraId="3D8A8543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lastRenderedPageBreak/>
              <w:t>Tijdsduur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06273BC7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Met opdrachtenformulier: 70-90 minuten, afhankelijk van de invulling van de docent. </w:t>
            </w:r>
          </w:p>
          <w:p w14:paraId="2A2CEC01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222A5" w:rsidRPr="00EF3984" w14:paraId="5C8F18B4" w14:textId="77777777" w:rsidTr="00F222A5">
        <w:tc>
          <w:tcPr>
            <w:tcW w:w="2689" w:type="dxa"/>
            <w:shd w:val="clear" w:color="auto" w:fill="70AD47" w:themeFill="accent6"/>
          </w:tcPr>
          <w:p w14:paraId="35A2C758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Instructie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40C643B9" w14:textId="684704D4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Wat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in duo’s of trio’s op zoek naar de persoon die het grootste aandeel heeft in de ontdekking van de vluchttunnel (aan iedere leerling de introductie met bronnen uitdelen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of de bronnen verdelen per groepslid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  <w:r w:rsidR="00D95CC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1120F85C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8E4A755" w14:textId="0791186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Hoe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: bronnen onderzoeken en op basis daarvan beargumenteren wie ervoor heeft gezorgd dat de </w:t>
            </w:r>
            <w:proofErr w:type="spellStart"/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Stasi</w:t>
            </w:r>
            <w:proofErr w:type="spellEnd"/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de tunnel heeft ontdekt</w:t>
            </w:r>
            <w:r w:rsidR="00D95CC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36F42D6A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07F0490" w14:textId="7F839FBD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Waarom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op deze manier leer</w:t>
            </w:r>
            <w:r w:rsidR="004D67B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 de leerling 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allerlei historische vaardigheden, zoals uit veel informatie keuzes maken op basis van argumenten en samenwerken, en </w:t>
            </w:r>
            <w:r w:rsidR="004D67B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 historische kennis wordt verbreed, bijvoorbeeld over het dagelijks leven in Oost- (en West</w:t>
            </w:r>
            <w:r w:rsidR="004D67B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)Berlijn ten tijde van de Koude Oorlog. Kortom, kennis en kunde die </w:t>
            </w:r>
            <w:r w:rsidR="004D67B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leerling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nodig he</w:t>
            </w:r>
            <w:r w:rsidR="004D67B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eft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4D67B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voor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het geschiedenis eindexamen. </w:t>
            </w:r>
          </w:p>
          <w:p w14:paraId="33DEE5F9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9295D3F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Hier kunnen de </w:t>
            </w:r>
            <w:r w:rsidRPr="00F222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doelen/leerdoelen</w:t>
            </w: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worden verduidelijkt. </w:t>
            </w:r>
          </w:p>
          <w:p w14:paraId="12EB00EC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222A5" w:rsidRPr="00EF3984" w14:paraId="62D55B9E" w14:textId="77777777" w:rsidTr="00F222A5">
        <w:tc>
          <w:tcPr>
            <w:tcW w:w="2689" w:type="dxa"/>
            <w:shd w:val="clear" w:color="auto" w:fill="70AD47" w:themeFill="accent6"/>
          </w:tcPr>
          <w:p w14:paraId="78B3895A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Uitvoering</w:t>
            </w:r>
          </w:p>
          <w:p w14:paraId="1AA94B57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+ tijdsindicatie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6BBC1601" w14:textId="0072AE8A" w:rsid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docent kan ervoor kiezen de introductie voor te lezen</w:t>
            </w:r>
            <w:r w:rsidR="008F5C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222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nl-NL"/>
              </w:rPr>
              <w:t>Dit lijkt verstandig gezien de hoeveelheid tekst van het mysterie</w:t>
            </w:r>
            <w:r w:rsidR="008F5C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nl-NL"/>
              </w:rPr>
              <w:t>.</w:t>
            </w:r>
          </w:p>
          <w:p w14:paraId="29A5168E" w14:textId="7FF367FE" w:rsidR="00F222A5" w:rsidRPr="00F222A5" w:rsidRDefault="00F222A5" w:rsidP="00F222A5">
            <w:pPr>
              <w:pStyle w:val="Geenafstand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ca. 5 minuten) </w:t>
            </w:r>
          </w:p>
          <w:p w14:paraId="3D5F1888" w14:textId="657D042F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Leerlingen gaan aan de slag met de opdracht.</w:t>
            </w:r>
          </w:p>
          <w:p w14:paraId="043CF62C" w14:textId="751230DF" w:rsidR="00F222A5" w:rsidRPr="00F222A5" w:rsidRDefault="00F222A5" w:rsidP="00F222A5">
            <w:pPr>
              <w:pStyle w:val="Geenafstand"/>
              <w:ind w:left="7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22A5">
              <w:rPr>
                <w:rFonts w:ascii="Times New Roman" w:hAnsi="Times New Roman" w:cs="Times New Roman"/>
                <w:lang w:val="nl-NL"/>
              </w:rPr>
              <w:t>Zij noteren/omcirkelen/markeren de zaken uit de bronnen die hen opvallen. (ca. 10 minuten)</w:t>
            </w:r>
          </w:p>
          <w:p w14:paraId="31BCA484" w14:textId="110CB346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Tussenbespreking in groepjes (ca. 5-10 minuten):</w:t>
            </w:r>
          </w:p>
          <w:p w14:paraId="2D002E13" w14:textId="1853C8FD" w:rsidR="00F222A5" w:rsidRPr="00F222A5" w:rsidRDefault="00F222A5" w:rsidP="00F222A5">
            <w:pPr>
              <w:pStyle w:val="Geenafstand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Wat doen jullie? Daarbij aanwijzingen geven.</w:t>
            </w:r>
          </w:p>
          <w:p w14:paraId="67D19BD4" w14:textId="0E9A7F22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Leerlingen gaan verder; selecteren van bruikbare informatie (ca. 20-30 minuten)</w:t>
            </w:r>
          </w:p>
          <w:p w14:paraId="6F53FF29" w14:textId="16DDCE9D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Tussenbespreking (ca. 5-10 minuten):</w:t>
            </w:r>
          </w:p>
          <w:p w14:paraId="0470BE5C" w14:textId="730925C3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Controleren of de leerlingen eruit komen, bijv. door het stellen van een aantal vragen.</w:t>
            </w:r>
          </w:p>
          <w:p w14:paraId="5E043796" w14:textId="6A91C3B7" w:rsidR="00F222A5" w:rsidRPr="008F5C5D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Leerlingen komen tot een antwoord en vullen dat in op het opdrachtenformulier (ca. 5-10 minuten)</w:t>
            </w:r>
          </w:p>
        </w:tc>
      </w:tr>
      <w:tr w:rsidR="00F222A5" w:rsidRPr="00EF3984" w14:paraId="56109C30" w14:textId="77777777" w:rsidTr="00F222A5">
        <w:tc>
          <w:tcPr>
            <w:tcW w:w="2689" w:type="dxa"/>
            <w:shd w:val="clear" w:color="auto" w:fill="70AD47" w:themeFill="accent6"/>
          </w:tcPr>
          <w:p w14:paraId="2E28AC58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lastRenderedPageBreak/>
              <w:t>Nabespreking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69686DAE" w14:textId="750E3AD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Wat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een behandeling van het opdrachtenformulier</w:t>
            </w:r>
            <w:r w:rsidR="008F5C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66449183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F8F3E9B" w14:textId="3DF43182" w:rsid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Hoe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Op welke wijze hebben jullie het gedaan? In welke bronnen hebben jullie de ‘bewijzen’ gevonden? Wat deden jullie waardoor het goed ging? (ruimte voor discussie)</w:t>
            </w:r>
          </w:p>
          <w:p w14:paraId="4E685A09" w14:textId="77777777" w:rsidR="006A1842" w:rsidRPr="00F222A5" w:rsidRDefault="006A1842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561AF5A" w14:textId="1452ED5B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A1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Waarom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Wat is de reden dat jullie het op deze wijze hebben aangepakt? (ruimte voor discussie)</w:t>
            </w:r>
          </w:p>
          <w:p w14:paraId="6F90F106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67B7183" w14:textId="1390421D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Leerdoelen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geef aan het eind van de les aandacht aan de doelen/leerdoelen. Of, laat de leerlingen zelf verwoorden wat zij hebben geleerd/gedaan/interessant vonden (geniet de voorkeur)</w:t>
            </w:r>
            <w:r w:rsidR="0071461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68BE6BA7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C34E74B" w14:textId="4B253170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Verband leggen met de historische context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</w:p>
          <w:p w14:paraId="449A0B3A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Bij de nabespreking kunnen een paar vragen over het leven in de DDR worden toegevoegd, zodat de opdracht direct relevant wordt voor het bespreken van de historische context. </w:t>
            </w:r>
          </w:p>
          <w:p w14:paraId="64AD87F6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Voorbeeldvragen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</w:p>
          <w:p w14:paraId="7045C4AD" w14:textId="5CAD15F1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Waarom wilden mensen vluchten uit de DDR?</w:t>
            </w:r>
          </w:p>
          <w:p w14:paraId="3F9718A9" w14:textId="49D865B4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Waarom wilden mensen in de DDR blijven?</w:t>
            </w:r>
          </w:p>
          <w:p w14:paraId="2299CFF5" w14:textId="263CC209" w:rsidR="00F222A5" w:rsidRPr="00F222A5" w:rsidRDefault="00F222A5" w:rsidP="00F222A5">
            <w:pPr>
              <w:pStyle w:val="Geenafstan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In hoeverre was de DDR een totalitaire staat?</w:t>
            </w:r>
          </w:p>
          <w:p w14:paraId="01CBA534" w14:textId="204506D6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(ca. </w:t>
            </w:r>
            <w:r w:rsidR="00B84C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10/</w:t>
            </w:r>
            <w:r w:rsidRPr="00F222A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15 minuten, afhankelijk van de inbreng van de klas)</w:t>
            </w:r>
            <w:r w:rsidR="0071461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7C8D5C08" w14:textId="77777777" w:rsidR="00F222A5" w:rsidRPr="00F222A5" w:rsidRDefault="00F222A5" w:rsidP="00F222A5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72D039D0" w14:textId="77777777" w:rsidR="003B45DD" w:rsidRPr="009D031B" w:rsidRDefault="003B45DD">
      <w:pPr>
        <w:rPr>
          <w:lang w:val="nl-NL"/>
        </w:rPr>
      </w:pPr>
    </w:p>
    <w:sectPr w:rsidR="003B45DD" w:rsidRPr="009D031B" w:rsidSect="0091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8F7"/>
    <w:multiLevelType w:val="hybridMultilevel"/>
    <w:tmpl w:val="332214DC"/>
    <w:lvl w:ilvl="0" w:tplc="0D302D0A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4A97"/>
    <w:multiLevelType w:val="hybridMultilevel"/>
    <w:tmpl w:val="3A60F32E"/>
    <w:lvl w:ilvl="0" w:tplc="709C6F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1B"/>
    <w:rsid w:val="001F5926"/>
    <w:rsid w:val="00237DF0"/>
    <w:rsid w:val="002C12CA"/>
    <w:rsid w:val="003B45DD"/>
    <w:rsid w:val="00426459"/>
    <w:rsid w:val="00454739"/>
    <w:rsid w:val="004D67B8"/>
    <w:rsid w:val="006A1842"/>
    <w:rsid w:val="00714613"/>
    <w:rsid w:val="008F5C5D"/>
    <w:rsid w:val="00914E12"/>
    <w:rsid w:val="009D031B"/>
    <w:rsid w:val="00B84C40"/>
    <w:rsid w:val="00D67988"/>
    <w:rsid w:val="00D95CCC"/>
    <w:rsid w:val="00EF3984"/>
    <w:rsid w:val="00F2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0C29"/>
  <w15:chartTrackingRefBased/>
  <w15:docId w15:val="{6BAE70B0-5D17-40AC-A6DC-F6B8D503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03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9D031B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D031B"/>
  </w:style>
  <w:style w:type="character" w:styleId="Hyperlink">
    <w:name w:val="Hyperlink"/>
    <w:basedOn w:val="Standaardalinea-lettertype"/>
    <w:uiPriority w:val="99"/>
    <w:unhideWhenUsed/>
    <w:rsid w:val="009D031B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9D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s.nl/video/264093-het-leven-in-de-dd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Streef</dc:creator>
  <cp:keywords/>
  <dc:description/>
  <cp:lastModifiedBy>Reessink, N.R.A. (Niels)</cp:lastModifiedBy>
  <cp:revision>2</cp:revision>
  <dcterms:created xsi:type="dcterms:W3CDTF">2022-10-24T10:56:00Z</dcterms:created>
  <dcterms:modified xsi:type="dcterms:W3CDTF">2022-10-24T10:56:00Z</dcterms:modified>
</cp:coreProperties>
</file>