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72C8C" w14:textId="2A4BE412" w:rsidR="00596145" w:rsidRPr="00665833" w:rsidRDefault="00AD7DC0" w:rsidP="00665833">
      <w:pPr>
        <w:spacing w:after="0" w:line="276" w:lineRule="auto"/>
        <w:jc w:val="center"/>
        <w:rPr>
          <w:b/>
          <w:bCs/>
          <w:sz w:val="36"/>
          <w:szCs w:val="36"/>
          <w:lang w:val="nl-NL"/>
        </w:rPr>
      </w:pPr>
      <w:r>
        <w:rPr>
          <w:b/>
          <w:bCs/>
          <w:sz w:val="36"/>
          <w:szCs w:val="36"/>
          <w:lang w:val="nl-NL"/>
        </w:rPr>
        <w:t>Thema</w:t>
      </w:r>
      <w:r w:rsidR="00665833" w:rsidRPr="00665833">
        <w:rPr>
          <w:b/>
          <w:bCs/>
          <w:sz w:val="36"/>
          <w:szCs w:val="36"/>
          <w:lang w:val="nl-NL"/>
        </w:rPr>
        <w:t xml:space="preserve"> 3: </w:t>
      </w:r>
      <w:r>
        <w:rPr>
          <w:b/>
          <w:bCs/>
          <w:sz w:val="36"/>
          <w:szCs w:val="36"/>
          <w:lang w:val="nl-NL"/>
        </w:rPr>
        <w:t>V</w:t>
      </w:r>
      <w:r w:rsidR="00665833" w:rsidRPr="00665833">
        <w:rPr>
          <w:b/>
          <w:bCs/>
          <w:sz w:val="36"/>
          <w:szCs w:val="36"/>
          <w:lang w:val="nl-NL"/>
        </w:rPr>
        <w:t>rouwen in de Gouden Eeuw</w:t>
      </w:r>
    </w:p>
    <w:p w14:paraId="1CB7E8A1" w14:textId="0D1ECE54" w:rsidR="00665833" w:rsidRDefault="00665833" w:rsidP="00665833">
      <w:pPr>
        <w:spacing w:after="0" w:line="276" w:lineRule="auto"/>
        <w:jc w:val="both"/>
        <w:rPr>
          <w:sz w:val="24"/>
          <w:szCs w:val="24"/>
          <w:lang w:val="nl-NL"/>
        </w:rPr>
      </w:pPr>
    </w:p>
    <w:p w14:paraId="51414BC7" w14:textId="6E93A76C" w:rsidR="00AB7BD6" w:rsidRPr="00A34553" w:rsidRDefault="00AB7BD6" w:rsidP="00665833">
      <w:pPr>
        <w:spacing w:after="0" w:line="276" w:lineRule="auto"/>
        <w:jc w:val="both"/>
        <w:rPr>
          <w:b/>
          <w:bCs/>
          <w:sz w:val="24"/>
          <w:szCs w:val="24"/>
          <w:lang w:val="nl-NL"/>
        </w:rPr>
      </w:pPr>
    </w:p>
    <w:p w14:paraId="11296525" w14:textId="13516A81" w:rsidR="00AB7BD6" w:rsidRDefault="00A34553" w:rsidP="00AB7BD6">
      <w:pPr>
        <w:spacing w:after="0" w:line="276" w:lineRule="auto"/>
        <w:jc w:val="both"/>
        <w:rPr>
          <w:sz w:val="24"/>
          <w:szCs w:val="24"/>
          <w:lang w:val="nl-NL"/>
        </w:rPr>
      </w:pPr>
      <w:r w:rsidRPr="00A34553">
        <w:rPr>
          <w:b/>
          <w:bCs/>
          <w:sz w:val="24"/>
          <w:szCs w:val="24"/>
          <w:lang w:val="nl-NL"/>
        </w:rPr>
        <w:t xml:space="preserve">Bron </w:t>
      </w:r>
      <w:r w:rsidR="00A15C90">
        <w:rPr>
          <w:b/>
          <w:bCs/>
          <w:sz w:val="24"/>
          <w:szCs w:val="24"/>
          <w:lang w:val="nl-NL"/>
        </w:rPr>
        <w:t>1</w:t>
      </w:r>
    </w:p>
    <w:tbl>
      <w:tblPr>
        <w:tblStyle w:val="Tabelraster"/>
        <w:tblW w:w="0" w:type="auto"/>
        <w:tblLook w:val="04A0" w:firstRow="1" w:lastRow="0" w:firstColumn="1" w:lastColumn="0" w:noHBand="0" w:noVBand="1"/>
      </w:tblPr>
      <w:tblGrid>
        <w:gridCol w:w="9062"/>
      </w:tblGrid>
      <w:tr w:rsidR="00AB7BD6" w:rsidRPr="00100E25" w14:paraId="01CC5037" w14:textId="77777777" w:rsidTr="00AB7BD6">
        <w:tc>
          <w:tcPr>
            <w:tcW w:w="9062" w:type="dxa"/>
          </w:tcPr>
          <w:p w14:paraId="7B16BFDD" w14:textId="77777777" w:rsidR="00AB7BD6" w:rsidRPr="00AB7BD6" w:rsidRDefault="00AB7BD6" w:rsidP="00AB7BD6">
            <w:pPr>
              <w:spacing w:line="276" w:lineRule="auto"/>
              <w:jc w:val="both"/>
              <w:rPr>
                <w:sz w:val="24"/>
                <w:szCs w:val="24"/>
                <w:lang w:val="nl-NL"/>
              </w:rPr>
            </w:pPr>
            <w:r w:rsidRPr="00AB7BD6">
              <w:rPr>
                <w:sz w:val="24"/>
                <w:szCs w:val="24"/>
                <w:lang w:val="nl-NL"/>
              </w:rPr>
              <w:t xml:space="preserve">Vrouwen regelden bedrijfszaken met hetzelfde gemak als het huishouden. Handeldrijven was niet alleen de taak van de man, zijn vrouw had daar ook een zeer actieve rol in. Het kwam zelfs voor dat vrouwen, als hun echtgenoot verhinderd was, in hun eentje op zakenreis gingen. Admiraal Michiel de Ruyter liet de bevoorrading van zijn schepen over aan zijn vrouw Anna van Gelder, en Joost van den Vondel zat te schrijven terwijl zijn vrouw Maaike de Wolff in hun kousenwinkel in de Warmoesstraat stond. Ook in de schilderkunst kennen we vrouwen die als meester-schilder in de gildeboeken stonden ingeschreven, bijvoorbeeld de Leidse Judith </w:t>
            </w:r>
            <w:proofErr w:type="spellStart"/>
            <w:r w:rsidRPr="00AB7BD6">
              <w:rPr>
                <w:sz w:val="24"/>
                <w:szCs w:val="24"/>
                <w:lang w:val="nl-NL"/>
              </w:rPr>
              <w:t>Leyster</w:t>
            </w:r>
            <w:proofErr w:type="spellEnd"/>
            <w:r w:rsidRPr="00AB7BD6">
              <w:rPr>
                <w:sz w:val="24"/>
                <w:szCs w:val="24"/>
                <w:lang w:val="nl-NL"/>
              </w:rPr>
              <w:t xml:space="preserve"> en de Alkmaarse Isabella </w:t>
            </w:r>
            <w:proofErr w:type="spellStart"/>
            <w:r w:rsidRPr="00AB7BD6">
              <w:rPr>
                <w:sz w:val="24"/>
                <w:szCs w:val="24"/>
                <w:lang w:val="nl-NL"/>
              </w:rPr>
              <w:t>Bardesius</w:t>
            </w:r>
            <w:proofErr w:type="spellEnd"/>
            <w:r w:rsidRPr="00AB7BD6">
              <w:rPr>
                <w:sz w:val="24"/>
                <w:szCs w:val="24"/>
                <w:lang w:val="nl-NL"/>
              </w:rPr>
              <w:t>. Dat was in andere landen uitgesloten.</w:t>
            </w:r>
          </w:p>
          <w:p w14:paraId="32CB714E" w14:textId="77777777" w:rsidR="00AB7BD6" w:rsidRPr="00AB7BD6" w:rsidRDefault="00AB7BD6" w:rsidP="00AB7BD6">
            <w:pPr>
              <w:spacing w:line="276" w:lineRule="auto"/>
              <w:jc w:val="both"/>
              <w:rPr>
                <w:sz w:val="24"/>
                <w:szCs w:val="24"/>
                <w:lang w:val="nl-NL"/>
              </w:rPr>
            </w:pPr>
          </w:p>
          <w:p w14:paraId="41C68617" w14:textId="77777777" w:rsidR="00AB7BD6" w:rsidRDefault="00AB7BD6" w:rsidP="00AB7BD6">
            <w:pPr>
              <w:spacing w:line="276" w:lineRule="auto"/>
              <w:jc w:val="both"/>
              <w:rPr>
                <w:sz w:val="24"/>
                <w:szCs w:val="24"/>
                <w:lang w:val="nl-NL"/>
              </w:rPr>
            </w:pPr>
            <w:r w:rsidRPr="00AB7BD6">
              <w:rPr>
                <w:sz w:val="24"/>
                <w:szCs w:val="24"/>
                <w:lang w:val="nl-NL"/>
              </w:rPr>
              <w:t>Hoe modern dat ook mag klinken, vrouwen moesten wel hun plaats weten. In de zestiende en zeventiende eeuw leefde men volgens de richtlijnen van de Bijbel, en die schreef voor dat de vrouw ondergeschikt was aan de man. Hij moest haar wel goed behandelen, slaan was niet toegestaan. Ongetrouwde meisjes moesten volgens de wet hun vader gehoorzamen, en als hij was overleden, stonden ze onder voogdij van een broer, neef of oom. Waren ze getrouwd, dan nam de echtgenoot de taak van voogd over, en moest een vrouw haar echtgenoot gehoorzamen. In de praktijk zal het wel meegevallen zijn met die volgzaamheid, als we de verhalen uit die tijd mogen geloven. In een land dat zo sterk afhankelijk was van de handel als Nederland was een deemoedige, onmondige echtgenote helemaal niet praktisch. Kooplieden hadden hun vrouw hard nodig als partner in het familiebedrijf. Betaalde arbeidskrachten konden je in de steek laten of bedriegen, van een echtgenote kon je op aan.</w:t>
            </w:r>
          </w:p>
          <w:p w14:paraId="78130881" w14:textId="77777777" w:rsidR="00AB7BD6" w:rsidRPr="00AB7BD6" w:rsidRDefault="00AB7BD6" w:rsidP="00AB7BD6">
            <w:pPr>
              <w:spacing w:line="276" w:lineRule="auto"/>
              <w:jc w:val="both"/>
              <w:rPr>
                <w:sz w:val="24"/>
                <w:szCs w:val="24"/>
                <w:lang w:val="nl-NL"/>
              </w:rPr>
            </w:pPr>
          </w:p>
          <w:p w14:paraId="0D3A2923" w14:textId="77777777" w:rsidR="00AB7BD6" w:rsidRPr="00AB7BD6" w:rsidRDefault="00AB7BD6" w:rsidP="00AB7BD6">
            <w:pPr>
              <w:spacing w:line="276" w:lineRule="auto"/>
              <w:jc w:val="both"/>
              <w:rPr>
                <w:sz w:val="24"/>
                <w:szCs w:val="24"/>
                <w:lang w:val="nl-NL"/>
              </w:rPr>
            </w:pPr>
            <w:r w:rsidRPr="00AB7BD6">
              <w:rPr>
                <w:sz w:val="24"/>
                <w:szCs w:val="24"/>
                <w:lang w:val="nl-NL"/>
              </w:rPr>
              <w:t>Om die reden kregen vrouwen alle vrijheid die ze wilden. Het was zelfs bij de wet geregeld. Een ‘openbare koopvrouw’ werd ze dan genoemd. In die positie had de vrouw stilzwijgend toestemming van haar man om handel te drijven tenzij hij haar dat expliciet verbood, bijvoorbeeld als een vrouw geen zakelijk inzicht had of gemakkelijk schulden maakte. Maar over het algemeen waren alle vrouwen door die wet automatisch handelingsbekwaam. Uiteindelijk zullen er niet veel vrouwen zijn geweest die zo ondernemend waren om een eigen bedrijf op te zetten. Wat wel vaak gebeurde was dat de echtgenote na de dood van haar man de leiding van het bedrijf overnam. Ze nam dan een meesterknecht in dienst, die de zaken op de werkvloer regelde.</w:t>
            </w:r>
          </w:p>
          <w:p w14:paraId="0B48E954" w14:textId="77777777" w:rsidR="00AB7BD6" w:rsidRPr="00AB7BD6" w:rsidRDefault="00AB7BD6" w:rsidP="00AB7BD6">
            <w:pPr>
              <w:spacing w:line="276" w:lineRule="auto"/>
              <w:jc w:val="both"/>
              <w:rPr>
                <w:sz w:val="24"/>
                <w:szCs w:val="24"/>
                <w:lang w:val="nl-NL"/>
              </w:rPr>
            </w:pPr>
          </w:p>
          <w:p w14:paraId="072BE52E" w14:textId="77777777" w:rsidR="00AB7BD6" w:rsidRPr="00AB7BD6" w:rsidRDefault="00AB7BD6" w:rsidP="00AB7BD6">
            <w:pPr>
              <w:spacing w:line="276" w:lineRule="auto"/>
              <w:jc w:val="both"/>
              <w:rPr>
                <w:sz w:val="24"/>
                <w:szCs w:val="24"/>
                <w:lang w:val="nl-NL"/>
              </w:rPr>
            </w:pPr>
            <w:r w:rsidRPr="00AB7BD6">
              <w:rPr>
                <w:sz w:val="24"/>
                <w:szCs w:val="24"/>
                <w:lang w:val="nl-NL"/>
              </w:rPr>
              <w:t xml:space="preserve">Weduwen hadden een aparte status. Een voogd hadden ze niet meer nodig, ze stonden zelf aan het hoofd van het huishouden en hadden alleen in juridische zaken mannelijke bijstand nodig. Zo’n zelfstandige weduwe was Elisabeth van den Berg, die bekendstond onder de naam </w:t>
            </w:r>
            <w:proofErr w:type="spellStart"/>
            <w:r w:rsidRPr="00AB7BD6">
              <w:rPr>
                <w:sz w:val="24"/>
                <w:szCs w:val="24"/>
                <w:lang w:val="nl-NL"/>
              </w:rPr>
              <w:t>Lysken</w:t>
            </w:r>
            <w:proofErr w:type="spellEnd"/>
            <w:r w:rsidRPr="00AB7BD6">
              <w:rPr>
                <w:sz w:val="24"/>
                <w:szCs w:val="24"/>
                <w:lang w:val="nl-NL"/>
              </w:rPr>
              <w:t xml:space="preserve"> </w:t>
            </w:r>
            <w:proofErr w:type="spellStart"/>
            <w:r w:rsidRPr="00AB7BD6">
              <w:rPr>
                <w:sz w:val="24"/>
                <w:szCs w:val="24"/>
                <w:lang w:val="nl-NL"/>
              </w:rPr>
              <w:t>Becx</w:t>
            </w:r>
            <w:proofErr w:type="spellEnd"/>
            <w:r w:rsidRPr="00AB7BD6">
              <w:rPr>
                <w:sz w:val="24"/>
                <w:szCs w:val="24"/>
                <w:lang w:val="nl-NL"/>
              </w:rPr>
              <w:t xml:space="preserve"> en vermoedelijk in 1552 in Helmond geboren was. Samen met haar man </w:t>
            </w:r>
            <w:r w:rsidRPr="00AB7BD6">
              <w:rPr>
                <w:sz w:val="24"/>
                <w:szCs w:val="24"/>
                <w:lang w:val="nl-NL"/>
              </w:rPr>
              <w:lastRenderedPageBreak/>
              <w:t>Jan dreef ze herberg De Wilde Man in Helmond. Na zijn dood ging ze niet bij de pakken neerzitten, maar zette ze de zaak in haar eentje voort.</w:t>
            </w:r>
          </w:p>
          <w:p w14:paraId="3A03C8E3" w14:textId="77777777" w:rsidR="00AB7BD6" w:rsidRPr="00AB7BD6" w:rsidRDefault="00AB7BD6" w:rsidP="00AB7BD6">
            <w:pPr>
              <w:spacing w:line="276" w:lineRule="auto"/>
              <w:jc w:val="both"/>
              <w:rPr>
                <w:sz w:val="24"/>
                <w:szCs w:val="24"/>
                <w:lang w:val="nl-NL"/>
              </w:rPr>
            </w:pPr>
          </w:p>
          <w:p w14:paraId="275BA4C1" w14:textId="000C4C01" w:rsidR="00AB7BD6" w:rsidRDefault="00AB7BD6" w:rsidP="00AB7BD6">
            <w:pPr>
              <w:spacing w:line="276" w:lineRule="auto"/>
              <w:jc w:val="both"/>
              <w:rPr>
                <w:sz w:val="24"/>
                <w:szCs w:val="24"/>
                <w:lang w:val="nl-NL"/>
              </w:rPr>
            </w:pPr>
            <w:r w:rsidRPr="00AB7BD6">
              <w:rPr>
                <w:sz w:val="24"/>
                <w:szCs w:val="24"/>
                <w:lang w:val="nl-NL"/>
              </w:rPr>
              <w:t xml:space="preserve">Zo heeft de zestiende eeuw heel wat eigenzinnige vrouwen gekend. </w:t>
            </w:r>
            <w:proofErr w:type="spellStart"/>
            <w:r w:rsidRPr="00AB7BD6">
              <w:rPr>
                <w:sz w:val="24"/>
                <w:szCs w:val="24"/>
                <w:lang w:val="nl-NL"/>
              </w:rPr>
              <w:t>Maeijken</w:t>
            </w:r>
            <w:proofErr w:type="spellEnd"/>
            <w:r w:rsidRPr="00AB7BD6">
              <w:rPr>
                <w:sz w:val="24"/>
                <w:szCs w:val="24"/>
                <w:lang w:val="nl-NL"/>
              </w:rPr>
              <w:t xml:space="preserve"> Joosten bijvoorbeeld, die lesbisch was en dolverliefd op de Leidse </w:t>
            </w:r>
            <w:proofErr w:type="spellStart"/>
            <w:r w:rsidRPr="00AB7BD6">
              <w:rPr>
                <w:sz w:val="24"/>
                <w:szCs w:val="24"/>
                <w:lang w:val="nl-NL"/>
              </w:rPr>
              <w:t>Bertelmina</w:t>
            </w:r>
            <w:proofErr w:type="spellEnd"/>
            <w:r w:rsidRPr="00AB7BD6">
              <w:rPr>
                <w:sz w:val="24"/>
                <w:szCs w:val="24"/>
                <w:lang w:val="nl-NL"/>
              </w:rPr>
              <w:t xml:space="preserve"> </w:t>
            </w:r>
            <w:proofErr w:type="spellStart"/>
            <w:r w:rsidRPr="00AB7BD6">
              <w:rPr>
                <w:sz w:val="24"/>
                <w:szCs w:val="24"/>
                <w:lang w:val="nl-NL"/>
              </w:rPr>
              <w:t>Wale</w:t>
            </w:r>
            <w:proofErr w:type="spellEnd"/>
            <w:r w:rsidRPr="00AB7BD6">
              <w:rPr>
                <w:sz w:val="24"/>
                <w:szCs w:val="24"/>
                <w:lang w:val="nl-NL"/>
              </w:rPr>
              <w:t xml:space="preserve">. Dat kon natuurlijk niet in die tijd, en dus verkleedde </w:t>
            </w:r>
            <w:proofErr w:type="spellStart"/>
            <w:r w:rsidRPr="00AB7BD6">
              <w:rPr>
                <w:sz w:val="24"/>
                <w:szCs w:val="24"/>
                <w:lang w:val="nl-NL"/>
              </w:rPr>
              <w:t>Maeijken</w:t>
            </w:r>
            <w:proofErr w:type="spellEnd"/>
            <w:r w:rsidRPr="00AB7BD6">
              <w:rPr>
                <w:sz w:val="24"/>
                <w:szCs w:val="24"/>
                <w:lang w:val="nl-NL"/>
              </w:rPr>
              <w:t xml:space="preserve"> zich als man en noemde ze zich Abraham Joosten. In maart 1606 ging ze met </w:t>
            </w:r>
            <w:proofErr w:type="spellStart"/>
            <w:r w:rsidRPr="00AB7BD6">
              <w:rPr>
                <w:sz w:val="24"/>
                <w:szCs w:val="24"/>
                <w:lang w:val="nl-NL"/>
              </w:rPr>
              <w:t>Bertelmina</w:t>
            </w:r>
            <w:proofErr w:type="spellEnd"/>
            <w:r w:rsidRPr="00AB7BD6">
              <w:rPr>
                <w:sz w:val="24"/>
                <w:szCs w:val="24"/>
                <w:lang w:val="nl-NL"/>
              </w:rPr>
              <w:t xml:space="preserve"> in ondertrouw, maar het bedrog kwam uit. De officier eiste de verdrinkingsdood voor </w:t>
            </w:r>
            <w:proofErr w:type="spellStart"/>
            <w:r w:rsidRPr="00AB7BD6">
              <w:rPr>
                <w:sz w:val="24"/>
                <w:szCs w:val="24"/>
                <w:lang w:val="nl-NL"/>
              </w:rPr>
              <w:t>Maeijken</w:t>
            </w:r>
            <w:proofErr w:type="spellEnd"/>
            <w:r w:rsidRPr="00AB7BD6">
              <w:rPr>
                <w:sz w:val="24"/>
                <w:szCs w:val="24"/>
                <w:lang w:val="nl-NL"/>
              </w:rPr>
              <w:t>, maar dat ging de schepenen net iets te ver. Ze werd gegeseld en verbannen uit Leiden en omgeving. Hoe het met haar verloofde afliep is niet bekend.</w:t>
            </w:r>
          </w:p>
        </w:tc>
      </w:tr>
    </w:tbl>
    <w:p w14:paraId="099D217A" w14:textId="50E271F8" w:rsidR="00AB7BD6" w:rsidRDefault="00AB7BD6" w:rsidP="00AB7BD6">
      <w:pPr>
        <w:spacing w:after="0" w:line="276" w:lineRule="auto"/>
        <w:jc w:val="both"/>
        <w:rPr>
          <w:sz w:val="24"/>
          <w:szCs w:val="24"/>
          <w:lang w:val="nl-NL"/>
        </w:rPr>
      </w:pPr>
    </w:p>
    <w:p w14:paraId="1A3B229E" w14:textId="77777777" w:rsidR="00CC4935" w:rsidRDefault="00CC4935" w:rsidP="00AB7BD6">
      <w:pPr>
        <w:spacing w:after="0" w:line="276" w:lineRule="auto"/>
        <w:jc w:val="both"/>
        <w:rPr>
          <w:sz w:val="24"/>
          <w:szCs w:val="24"/>
          <w:lang w:val="nl-NL"/>
        </w:rPr>
      </w:pPr>
    </w:p>
    <w:p w14:paraId="1AFC0E0C" w14:textId="3C7944CE" w:rsidR="00CC4935" w:rsidRDefault="00CC4935" w:rsidP="00AB7BD6">
      <w:pPr>
        <w:spacing w:after="0" w:line="276" w:lineRule="auto"/>
        <w:jc w:val="both"/>
        <w:rPr>
          <w:sz w:val="24"/>
          <w:szCs w:val="24"/>
          <w:lang w:val="nl-NL"/>
        </w:rPr>
      </w:pPr>
      <w:r w:rsidRPr="00CC4935">
        <w:rPr>
          <w:b/>
          <w:bCs/>
          <w:sz w:val="24"/>
          <w:szCs w:val="24"/>
          <w:lang w:val="nl-NL"/>
        </w:rPr>
        <w:t xml:space="preserve">Bron </w:t>
      </w:r>
      <w:r w:rsidR="00A15C90">
        <w:rPr>
          <w:b/>
          <w:bCs/>
          <w:sz w:val="24"/>
          <w:szCs w:val="24"/>
          <w:lang w:val="nl-NL"/>
        </w:rPr>
        <w:t>2</w:t>
      </w:r>
    </w:p>
    <w:tbl>
      <w:tblPr>
        <w:tblStyle w:val="Tabelraster"/>
        <w:tblW w:w="0" w:type="auto"/>
        <w:tblLook w:val="04A0" w:firstRow="1" w:lastRow="0" w:firstColumn="1" w:lastColumn="0" w:noHBand="0" w:noVBand="1"/>
      </w:tblPr>
      <w:tblGrid>
        <w:gridCol w:w="9062"/>
      </w:tblGrid>
      <w:tr w:rsidR="00CC4935" w:rsidRPr="00100E25" w14:paraId="5A854570" w14:textId="77777777" w:rsidTr="00CC4935">
        <w:tc>
          <w:tcPr>
            <w:tcW w:w="9062" w:type="dxa"/>
          </w:tcPr>
          <w:p w14:paraId="4BB4BE65" w14:textId="77777777" w:rsidR="00CC4935" w:rsidRPr="00CC4935" w:rsidRDefault="00CC4935" w:rsidP="00CC4935">
            <w:pPr>
              <w:spacing w:line="276" w:lineRule="auto"/>
              <w:jc w:val="both"/>
              <w:rPr>
                <w:sz w:val="24"/>
                <w:szCs w:val="24"/>
                <w:lang w:val="nl-NL"/>
              </w:rPr>
            </w:pPr>
            <w:r w:rsidRPr="00CC4935">
              <w:rPr>
                <w:sz w:val="24"/>
                <w:szCs w:val="24"/>
                <w:lang w:val="nl-NL"/>
              </w:rPr>
              <w:t>Kenmerkend voor de Republiek in deze tijd was dat de huwelijksleeftijd relatief hoog was. Vrouwen trouwden gemiddeld rond de leeftijd van 25 jaar, de man was dan meestal één tot anderhalf jaar ouder. Verder waren er veel ongehuwden. Dit alles had dezelfde oorzaak: armoede. Er vond een grote immigratie van het platteland naar de stad plaats door de opkomst van de steden, nijverheid en handel. Mensen hoopten daar een beter bestaan te vinden en pas wanneer ze voldoende bestaansmiddelen hadden, werd er getrouwd. Dit lukte vaak echter niet en veel mensen bleven dan ook ongetrouwd.</w:t>
            </w:r>
          </w:p>
          <w:p w14:paraId="6FF8FD6F" w14:textId="77777777" w:rsidR="00CC4935" w:rsidRPr="00CC4935" w:rsidRDefault="00CC4935" w:rsidP="00CC4935">
            <w:pPr>
              <w:spacing w:line="276" w:lineRule="auto"/>
              <w:jc w:val="both"/>
              <w:rPr>
                <w:sz w:val="24"/>
                <w:szCs w:val="24"/>
                <w:lang w:val="nl-NL"/>
              </w:rPr>
            </w:pPr>
          </w:p>
          <w:p w14:paraId="3E1F75DF" w14:textId="77777777" w:rsidR="00CC4935" w:rsidRPr="00CC4935" w:rsidRDefault="00CC4935" w:rsidP="00CC4935">
            <w:pPr>
              <w:spacing w:line="276" w:lineRule="auto"/>
              <w:jc w:val="both"/>
              <w:rPr>
                <w:b/>
                <w:bCs/>
                <w:sz w:val="24"/>
                <w:szCs w:val="24"/>
                <w:lang w:val="nl-NL"/>
              </w:rPr>
            </w:pPr>
            <w:r w:rsidRPr="00CC4935">
              <w:rPr>
                <w:b/>
                <w:bCs/>
                <w:sz w:val="24"/>
                <w:szCs w:val="24"/>
                <w:lang w:val="nl-NL"/>
              </w:rPr>
              <w:t>Partnerkeuze tijdens de Gouden Eeuw</w:t>
            </w:r>
          </w:p>
          <w:p w14:paraId="57F9D13D" w14:textId="2A8481DA" w:rsidR="00CC4935" w:rsidRPr="00CC4935" w:rsidRDefault="00CC4935" w:rsidP="00CC4935">
            <w:pPr>
              <w:spacing w:line="276" w:lineRule="auto"/>
              <w:jc w:val="both"/>
              <w:rPr>
                <w:sz w:val="24"/>
                <w:szCs w:val="24"/>
                <w:lang w:val="nl-NL"/>
              </w:rPr>
            </w:pPr>
            <w:r w:rsidRPr="00CC4935">
              <w:rPr>
                <w:sz w:val="24"/>
                <w:szCs w:val="24"/>
                <w:lang w:val="nl-NL"/>
              </w:rPr>
              <w:t>In Nederland was de partnerkeuze tijdens de Gouden Eeuw vaak vrijer dan in andere Europese landen. Huwelijken werden wel geregeld door de twee betrokken families, maar meestal werd er een partner gezocht die dezelfde achtergrond en interesses had en mocht de huwelijkskandidaat (zowel de man als de vrouw) zelf aangeven of deze een verbintenis zag zitten. Dit zorgde voor andere rolpatronen en iets meer gelijkheid tussen man en vrouw. In Nederland was het voor vrouwen bijvoorbeeld mogelijk om te scheiden. Als een vrouw gescheiden was, of weduwe was geworden, werd ze ook handelingsbekwaam en kwam niet onder de (financiële) hoede van haar vader, wat in andere landen vaak wel het geval was.</w:t>
            </w:r>
          </w:p>
          <w:p w14:paraId="25DCFA36" w14:textId="77777777" w:rsidR="00CC4935" w:rsidRPr="00CC4935" w:rsidRDefault="00CC4935" w:rsidP="00CC4935">
            <w:pPr>
              <w:spacing w:line="276" w:lineRule="auto"/>
              <w:jc w:val="both"/>
              <w:rPr>
                <w:sz w:val="24"/>
                <w:szCs w:val="24"/>
                <w:lang w:val="nl-NL"/>
              </w:rPr>
            </w:pPr>
          </w:p>
          <w:p w14:paraId="2977B66C" w14:textId="77777777" w:rsidR="00CC4935" w:rsidRPr="00CC4935" w:rsidRDefault="00CC4935" w:rsidP="00CC4935">
            <w:pPr>
              <w:spacing w:line="276" w:lineRule="auto"/>
              <w:jc w:val="both"/>
              <w:rPr>
                <w:b/>
                <w:bCs/>
                <w:sz w:val="24"/>
                <w:szCs w:val="24"/>
                <w:lang w:val="nl-NL"/>
              </w:rPr>
            </w:pPr>
            <w:r w:rsidRPr="00CC4935">
              <w:rPr>
                <w:b/>
                <w:bCs/>
                <w:sz w:val="24"/>
                <w:szCs w:val="24"/>
                <w:lang w:val="nl-NL"/>
              </w:rPr>
              <w:t>Vrouwenemancipatie in de 16e en 17e eeuw</w:t>
            </w:r>
          </w:p>
          <w:p w14:paraId="1BB71AA1" w14:textId="6797181A" w:rsidR="00CC4935" w:rsidRDefault="00CC4935" w:rsidP="00CC4935">
            <w:pPr>
              <w:spacing w:line="276" w:lineRule="auto"/>
              <w:jc w:val="both"/>
              <w:rPr>
                <w:sz w:val="24"/>
                <w:szCs w:val="24"/>
                <w:lang w:val="nl-NL"/>
              </w:rPr>
            </w:pPr>
            <w:r w:rsidRPr="00CC4935">
              <w:rPr>
                <w:sz w:val="24"/>
                <w:szCs w:val="24"/>
                <w:lang w:val="nl-NL"/>
              </w:rPr>
              <w:t>Dit betekende dat vrouwen in deze situatie officiële beslissingen kon nemen, huizen of grond kon kopen en contracten kon afsluiten. Daarom gebeurde het vaak dat de vrouw na de dood van haar echtgenoot het bedrijf voortzette. Zo bekleedden vrouwen economisch gezien vaak toch een belangrijke positie, en was vrouwenarbeid vanzelfsprekend. Sommige vrouwen leerden dan ook lezen en schrijven, dit tot verbazing van veel buitenlanders.</w:t>
            </w:r>
            <w:r>
              <w:rPr>
                <w:sz w:val="24"/>
                <w:szCs w:val="24"/>
                <w:lang w:val="nl-NL"/>
              </w:rPr>
              <w:t xml:space="preserve"> </w:t>
            </w:r>
          </w:p>
        </w:tc>
      </w:tr>
    </w:tbl>
    <w:p w14:paraId="50766E2B" w14:textId="77777777" w:rsidR="00CC4935" w:rsidRDefault="00CC4935" w:rsidP="00AB7BD6">
      <w:pPr>
        <w:spacing w:after="0" w:line="276" w:lineRule="auto"/>
        <w:jc w:val="both"/>
        <w:rPr>
          <w:sz w:val="24"/>
          <w:szCs w:val="24"/>
          <w:lang w:val="nl-NL"/>
        </w:rPr>
      </w:pPr>
    </w:p>
    <w:p w14:paraId="3E4A5AAD" w14:textId="7186B37C" w:rsidR="00AB7BD6" w:rsidRDefault="00AB7BD6" w:rsidP="00AB7BD6">
      <w:pPr>
        <w:spacing w:after="0" w:line="276" w:lineRule="auto"/>
        <w:jc w:val="both"/>
        <w:rPr>
          <w:sz w:val="24"/>
          <w:szCs w:val="24"/>
          <w:lang w:val="nl-NL"/>
        </w:rPr>
      </w:pPr>
    </w:p>
    <w:p w14:paraId="6E51FC44" w14:textId="77777777" w:rsidR="00AB7BD6" w:rsidRDefault="00AB7BD6" w:rsidP="00AB7BD6">
      <w:pPr>
        <w:spacing w:after="0" w:line="276" w:lineRule="auto"/>
        <w:jc w:val="both"/>
        <w:rPr>
          <w:sz w:val="24"/>
          <w:szCs w:val="24"/>
          <w:lang w:val="nl-NL"/>
        </w:rPr>
      </w:pPr>
    </w:p>
    <w:p w14:paraId="4019B494" w14:textId="77777777" w:rsidR="00AB7BD6" w:rsidRPr="00665833" w:rsidRDefault="00AB7BD6">
      <w:pPr>
        <w:spacing w:after="0" w:line="276" w:lineRule="auto"/>
        <w:jc w:val="both"/>
        <w:rPr>
          <w:sz w:val="24"/>
          <w:szCs w:val="24"/>
          <w:lang w:val="nl-NL"/>
        </w:rPr>
      </w:pPr>
    </w:p>
    <w:sectPr w:rsidR="00AB7BD6" w:rsidRPr="006658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yMTOyMDQ0tDCztDBR0lEKTi0uzszPAykwrgUAyXP+pSwAAAA="/>
  </w:docVars>
  <w:rsids>
    <w:rsidRoot w:val="00B31953"/>
    <w:rsid w:val="00100E25"/>
    <w:rsid w:val="00596145"/>
    <w:rsid w:val="00665833"/>
    <w:rsid w:val="00A15C90"/>
    <w:rsid w:val="00A34553"/>
    <w:rsid w:val="00AB7BD6"/>
    <w:rsid w:val="00AD7DC0"/>
    <w:rsid w:val="00B31953"/>
    <w:rsid w:val="00CC4935"/>
    <w:rsid w:val="00E568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DC371"/>
  <w15:chartTrackingRefBased/>
  <w15:docId w15:val="{339FD0B9-752E-41AC-B08D-D50164D0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B7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34553"/>
    <w:rPr>
      <w:color w:val="0563C1" w:themeColor="hyperlink"/>
      <w:u w:val="single"/>
    </w:rPr>
  </w:style>
  <w:style w:type="character" w:styleId="Onopgelostemelding">
    <w:name w:val="Unresolved Mention"/>
    <w:basedOn w:val="Standaardalinea-lettertype"/>
    <w:uiPriority w:val="99"/>
    <w:semiHidden/>
    <w:unhideWhenUsed/>
    <w:rsid w:val="00A34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1</Pages>
  <Words>815</Words>
  <Characters>4484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geusebroek</dc:creator>
  <cp:keywords/>
  <dc:description/>
  <cp:lastModifiedBy>mick geusebroek</cp:lastModifiedBy>
  <cp:revision>7</cp:revision>
  <cp:lastPrinted>2021-11-25T18:35:00Z</cp:lastPrinted>
  <dcterms:created xsi:type="dcterms:W3CDTF">2021-11-24T16:51:00Z</dcterms:created>
  <dcterms:modified xsi:type="dcterms:W3CDTF">2021-11-25T18:35:00Z</dcterms:modified>
</cp:coreProperties>
</file>