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286" w:type="dxa"/>
        <w:tblInd w:w="-601" w:type="dxa"/>
        <w:tblLook w:val="04A0" w:firstRow="1" w:lastRow="0" w:firstColumn="1" w:lastColumn="0" w:noHBand="0" w:noVBand="1"/>
      </w:tblPr>
      <w:tblGrid>
        <w:gridCol w:w="1562"/>
        <w:gridCol w:w="3081"/>
        <w:gridCol w:w="3222"/>
        <w:gridCol w:w="3421"/>
        <w:gridCol w:w="4000"/>
      </w:tblGrid>
      <w:tr w:rsidR="003E03E7" w:rsidRPr="003E03E7" w14:paraId="0FC325BF" w14:textId="77777777" w:rsidTr="00143E59">
        <w:trPr>
          <w:trHeight w:val="240"/>
        </w:trPr>
        <w:tc>
          <w:tcPr>
            <w:tcW w:w="1562" w:type="dxa"/>
          </w:tcPr>
          <w:p w14:paraId="63E38DF3" w14:textId="77777777" w:rsidR="008328E0" w:rsidRPr="003E03E7" w:rsidRDefault="008328E0" w:rsidP="008F5DB3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>Onderdeel</w:t>
            </w:r>
          </w:p>
        </w:tc>
        <w:tc>
          <w:tcPr>
            <w:tcW w:w="3081" w:type="dxa"/>
          </w:tcPr>
          <w:p w14:paraId="2BC98A75" w14:textId="77777777" w:rsidR="008328E0" w:rsidRPr="003E03E7" w:rsidRDefault="0069684C" w:rsidP="008F5DB3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3222" w:type="dxa"/>
          </w:tcPr>
          <w:p w14:paraId="6DD1628C" w14:textId="77777777" w:rsidR="008328E0" w:rsidRPr="003E03E7" w:rsidRDefault="008328E0" w:rsidP="008F5DB3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3421" w:type="dxa"/>
          </w:tcPr>
          <w:p w14:paraId="14BE8FF8" w14:textId="77777777" w:rsidR="008328E0" w:rsidRPr="003E03E7" w:rsidRDefault="008328E0" w:rsidP="008F5DB3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000" w:type="dxa"/>
          </w:tcPr>
          <w:p w14:paraId="6DA5E15A" w14:textId="77777777" w:rsidR="008328E0" w:rsidRPr="003E03E7" w:rsidRDefault="008328E0" w:rsidP="008F5DB3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>U</w:t>
            </w:r>
          </w:p>
        </w:tc>
      </w:tr>
      <w:tr w:rsidR="003E03E7" w:rsidRPr="003E03E7" w14:paraId="332D338A" w14:textId="77777777" w:rsidTr="00A457DD">
        <w:trPr>
          <w:trHeight w:val="2565"/>
        </w:trPr>
        <w:tc>
          <w:tcPr>
            <w:tcW w:w="1562" w:type="dxa"/>
          </w:tcPr>
          <w:p w14:paraId="287E4B9D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10279A55" w14:textId="2966D094" w:rsidR="005A1C54" w:rsidRPr="003E03E7" w:rsidRDefault="00DB57CA" w:rsidP="005A1C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  <w:p w14:paraId="7FB6790F" w14:textId="538AB28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  <w:r w:rsidRPr="003E03E7">
              <w:rPr>
                <w:rFonts w:cstheme="minorHAnsi"/>
                <w:sz w:val="20"/>
                <w:szCs w:val="20"/>
              </w:rPr>
              <w:t>Keuze canonvensters</w:t>
            </w:r>
          </w:p>
          <w:p w14:paraId="164F3913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5A586F9E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78EB8AB" w14:textId="25300336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Het merendeel van de gekozen vensters is niet, of maar ten dele relevant voor de geschiedenis van de DDR. </w:t>
            </w:r>
          </w:p>
          <w:p w14:paraId="3DF7F008" w14:textId="4467C004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meeste vensters hebben een geringe symboolwaarde</w:t>
            </w:r>
          </w:p>
          <w:p w14:paraId="0DBED7D8" w14:textId="59D4310D" w:rsidR="005A1C54" w:rsidRPr="001B59B1" w:rsidRDefault="001F2F6C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4</w:t>
            </w:r>
          </w:p>
        </w:tc>
        <w:tc>
          <w:tcPr>
            <w:tcW w:w="3222" w:type="dxa"/>
          </w:tcPr>
          <w:p w14:paraId="3EB50669" w14:textId="1CE6EB1B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merendeel van de vensters is relevant voor de geschiedenis van de DDR</w:t>
            </w:r>
          </w:p>
          <w:p w14:paraId="60042F02" w14:textId="08FD2C4D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meeste vensters hebben een redelijke symboolwaarde</w:t>
            </w:r>
          </w:p>
          <w:p w14:paraId="4382B344" w14:textId="0B4BDB18" w:rsidR="005A1C54" w:rsidRPr="001B59B1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1F2F6C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7</w:t>
            </w:r>
          </w:p>
        </w:tc>
        <w:tc>
          <w:tcPr>
            <w:tcW w:w="3421" w:type="dxa"/>
          </w:tcPr>
          <w:p w14:paraId="502314FB" w14:textId="7CBC66FB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Het merendeel van de vensters is relevant voor de geschiedenis van de DDR, waarbij originele eigen keuzes gemaakt zijn. </w:t>
            </w:r>
          </w:p>
          <w:p w14:paraId="7046A1CA" w14:textId="06DFB1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meeste vensters hebben een redelijke symboolwaarde</w:t>
            </w:r>
          </w:p>
          <w:p w14:paraId="6CFAF98F" w14:textId="437A21D0" w:rsidR="005A1C54" w:rsidRPr="001B59B1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</w:t>
            </w:r>
            <w:r w:rsidR="001F2F6C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0</w:t>
            </w:r>
          </w:p>
        </w:tc>
        <w:tc>
          <w:tcPr>
            <w:tcW w:w="4000" w:type="dxa"/>
          </w:tcPr>
          <w:p w14:paraId="5F8ECBDD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Het merendeel van de vensters is relevant voor de geschiedenis van de DDR, waarbij originele eigen keuzes gemaakt zijn. </w:t>
            </w:r>
          </w:p>
          <w:p w14:paraId="1160E041" w14:textId="10106210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meeste vensters hebben een uitstekende symboolwaarde</w:t>
            </w:r>
          </w:p>
          <w:p w14:paraId="7344D85C" w14:textId="7B06475D" w:rsidR="005A1C54" w:rsidRPr="001B59B1" w:rsidRDefault="00A457DD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1F2F6C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15</w:t>
            </w:r>
          </w:p>
        </w:tc>
      </w:tr>
      <w:tr w:rsidR="003E03E7" w:rsidRPr="003E03E7" w14:paraId="25A98AAC" w14:textId="77777777" w:rsidTr="003706BF">
        <w:trPr>
          <w:trHeight w:val="3290"/>
        </w:trPr>
        <w:tc>
          <w:tcPr>
            <w:tcW w:w="1562" w:type="dxa"/>
          </w:tcPr>
          <w:p w14:paraId="3E73DD8E" w14:textId="77777777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</w:p>
          <w:p w14:paraId="7F62140E" w14:textId="083798CE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  <w:p w14:paraId="35C0C0D0" w14:textId="7E0776B6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  <w:r w:rsidRPr="003E03E7">
              <w:rPr>
                <w:rFonts w:cstheme="minorHAnsi"/>
                <w:sz w:val="20"/>
                <w:szCs w:val="20"/>
              </w:rPr>
              <w:t xml:space="preserve">Uitwerking venster </w:t>
            </w:r>
          </w:p>
          <w:p w14:paraId="7CA5D62E" w14:textId="19EA7B30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42C4315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venster is niet, of maar ten dele relevant voor de geschiedenis van de DDR.</w:t>
            </w:r>
          </w:p>
          <w:p w14:paraId="4D680796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Venster wordt niet kloppend uitgelegd en/of de symboolwaarde voor (ontwikkelingen in) de geschiedenis wordt niet uitgelegd.</w:t>
            </w:r>
          </w:p>
          <w:p w14:paraId="6CE28C8F" w14:textId="77777777" w:rsidR="00A46922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Uitwerking onvolledig of geeft niet de hoofdzaken weer. Er is sprake van veel overbodige informatie.</w:t>
            </w:r>
          </w:p>
          <w:p w14:paraId="3263519E" w14:textId="77777777" w:rsidR="00A46922" w:rsidRPr="003E03E7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 het venster blijkt het gekozen perspectief niet. Er is geen rekening gehouden met standplaatsgebondenheid.</w:t>
            </w:r>
          </w:p>
          <w:p w14:paraId="0116AF35" w14:textId="1CBD11E1" w:rsidR="005A1C54" w:rsidRPr="001B59B1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3E03E7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5</w:t>
            </w:r>
            <w:r w:rsidR="005A1C54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222" w:type="dxa"/>
          </w:tcPr>
          <w:p w14:paraId="4540DB78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venster is relevant voor de geschiedenis van de DDR</w:t>
            </w:r>
          </w:p>
          <w:p w14:paraId="54B0A02D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Venster wordt redelijk kloppend uitgelegd. Het wordt duidelijk wat de symboolwaarde voor (ontwikkelingen in) de geschiedenis is.</w:t>
            </w:r>
          </w:p>
          <w:p w14:paraId="071937C3" w14:textId="03ECC93C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Uitwerking is min of meer volledig. Hoofdzaken zijn benoemd. Er wordt wat overbodige informatie gegeven.</w:t>
            </w:r>
          </w:p>
          <w:p w14:paraId="52E1EF0F" w14:textId="0381FEFA" w:rsidR="00A46922" w:rsidRPr="003E03E7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 het venster blijkt het gekozen perspectief. Er is enigszins rekening gehouden met standplaatsgebondenheid. </w:t>
            </w:r>
          </w:p>
          <w:p w14:paraId="5E4C278B" w14:textId="57C75304" w:rsidR="005A1C54" w:rsidRPr="001B59B1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3E03E7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10</w:t>
            </w:r>
          </w:p>
        </w:tc>
        <w:tc>
          <w:tcPr>
            <w:tcW w:w="3421" w:type="dxa"/>
          </w:tcPr>
          <w:p w14:paraId="2885D4A3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venster is relevant voor de geschiedenis van de DDR en die relevantie wordt goed toegelicht</w:t>
            </w:r>
          </w:p>
          <w:p w14:paraId="0D49D336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Venster wordt kloppend uitgelegd, er is weinig overbodige informatie en de symboolwaarde voor (ontwikkelingen in) de geschiedenis worden helder geformuleerd uitgelegd.</w:t>
            </w:r>
          </w:p>
          <w:p w14:paraId="313B46B6" w14:textId="7643FCE9" w:rsidR="005A1C54" w:rsidRPr="00DB57CA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Uitwerking is volledig. Hoofdzaken vormen de kern van het venster. </w:t>
            </w:r>
            <w:r w:rsidRPr="00DB57C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Er is weinig overbodige informatie.</w:t>
            </w:r>
          </w:p>
          <w:p w14:paraId="294A6145" w14:textId="3974C248" w:rsidR="00A46922" w:rsidRPr="00DB57CA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 het venster blijkt het gekozen perspectief. Er is duidelijk rekening gehouden met standplaatsgebondenheid en hier is op een goede wijze invulling aan gegeven. </w:t>
            </w:r>
          </w:p>
          <w:p w14:paraId="2A95EE8B" w14:textId="1D2ED8D7" w:rsidR="005A1C54" w:rsidRPr="001B59B1" w:rsidRDefault="003E03E7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16</w:t>
            </w:r>
          </w:p>
        </w:tc>
        <w:tc>
          <w:tcPr>
            <w:tcW w:w="4000" w:type="dxa"/>
          </w:tcPr>
          <w:p w14:paraId="2B19A95B" w14:textId="37AAA01D" w:rsidR="005A1C54" w:rsidRPr="00DB57CA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venster is zeer relevant voor de geschiedenis van de DDR en die relevantie wordt uitstekend toegelicht.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  <w:t>Venster wordt kloppend uitgelegd, er is geen overbodige informatie en de symboolwaarde voor (ontwikkelingen in) de geschiedenis worden helder geformuleerd uitgelegd.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  <w:t xml:space="preserve">Uitwerking is zeer volledig. Hoofdzaken vormen de kern van het venster. </w:t>
            </w:r>
            <w:r w:rsidRPr="00DB57C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Er is geen sprake van overbodige informatie.</w:t>
            </w:r>
          </w:p>
          <w:p w14:paraId="2B8925B9" w14:textId="4F4E2437" w:rsidR="00A46922" w:rsidRPr="00DB57CA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 het venster blijkt het gekozen perspectief. Er is veel rekening gehouden met standplaatsgebondenheid, ook op detailniveau en hier is op een uitstekende en creatieve wijze invulling aan gegeven. </w:t>
            </w:r>
          </w:p>
          <w:p w14:paraId="54ED10C7" w14:textId="573E64D9" w:rsidR="005A1C54" w:rsidRPr="001B59B1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3E03E7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20</w:t>
            </w:r>
          </w:p>
        </w:tc>
      </w:tr>
      <w:tr w:rsidR="003E03E7" w:rsidRPr="003E03E7" w14:paraId="0E426D77" w14:textId="77777777" w:rsidTr="00A46922">
        <w:trPr>
          <w:trHeight w:val="3393"/>
        </w:trPr>
        <w:tc>
          <w:tcPr>
            <w:tcW w:w="1562" w:type="dxa"/>
          </w:tcPr>
          <w:p w14:paraId="55DC4EBD" w14:textId="77777777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</w:p>
          <w:p w14:paraId="56A8001F" w14:textId="1AC65EC7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  <w:p w14:paraId="6EEAEEAC" w14:textId="7FC57F0D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  <w:r w:rsidRPr="003E03E7">
              <w:rPr>
                <w:rFonts w:cstheme="minorHAnsi"/>
                <w:sz w:val="20"/>
                <w:szCs w:val="20"/>
              </w:rPr>
              <w:t>Toelichting  keuzes</w:t>
            </w:r>
          </w:p>
          <w:p w14:paraId="45D3211D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4FAA2D47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4E97CB2B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305A0A50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094A62CD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3E5F035" w14:textId="77777777" w:rsidR="001F2F6C" w:rsidRPr="003E03E7" w:rsidRDefault="001F2F6C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Criteria voor keuzes worden niet gegeven of niet onderbouwd. </w:t>
            </w:r>
          </w:p>
          <w:p w14:paraId="4E425365" w14:textId="77777777" w:rsidR="00A46922" w:rsidRPr="003E03E7" w:rsidRDefault="005A1C54" w:rsidP="001F2F6C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argumentatie is niet sluitend of bevat veel fouten.</w:t>
            </w:r>
            <w:r w:rsidR="001F2F6C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 </w:t>
            </w: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br/>
            </w:r>
          </w:p>
          <w:p w14:paraId="61861E22" w14:textId="45C09A19" w:rsidR="00A46922" w:rsidRPr="003E03E7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 de toelichting blijkt het gekozen perspectief niet. Er is geen rekening gehouden met standplaatsgebondenheid.</w:t>
            </w:r>
          </w:p>
          <w:p w14:paraId="6B5F6031" w14:textId="77777777" w:rsidR="00A457DD" w:rsidRDefault="003E03E7" w:rsidP="001F2F6C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br/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br/>
            </w:r>
          </w:p>
          <w:p w14:paraId="4CD360AA" w14:textId="77777777" w:rsidR="00A457DD" w:rsidRDefault="00A457DD" w:rsidP="001F2F6C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</w:p>
          <w:p w14:paraId="05BD0DBF" w14:textId="6B13BA90" w:rsidR="005A1C54" w:rsidRPr="001B59B1" w:rsidRDefault="003E03E7" w:rsidP="001F2F6C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  <w:t>5</w:t>
            </w:r>
          </w:p>
        </w:tc>
        <w:tc>
          <w:tcPr>
            <w:tcW w:w="3222" w:type="dxa"/>
          </w:tcPr>
          <w:p w14:paraId="1CD03B7B" w14:textId="00F806FF" w:rsidR="001F2F6C" w:rsidRPr="003E03E7" w:rsidRDefault="001F2F6C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Criteria voor keuzes worden gegeven. </w:t>
            </w:r>
          </w:p>
          <w:p w14:paraId="6DC7D9D5" w14:textId="77777777" w:rsidR="001F2F6C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De argumentatie sluitend en is voor het grootste gedeelte kloppend, maar wel oppervlakkig of onvolledig. </w:t>
            </w:r>
          </w:p>
          <w:p w14:paraId="1F06911B" w14:textId="77777777" w:rsidR="00A46922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Er is een redelijke samenhang (Opening en </w:t>
            </w:r>
            <w:r w:rsidR="001F2F6C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afsluiting</w:t>
            </w: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 sporen met elkaar, middendeel leidt tot </w:t>
            </w:r>
            <w:r w:rsidR="001F2F6C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afsluiting</w:t>
            </w: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).</w:t>
            </w:r>
          </w:p>
          <w:p w14:paraId="5259F1D4" w14:textId="77777777" w:rsidR="00A46922" w:rsidRPr="003E03E7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 de toelichting blijkt het gekozen perspectief. Er is enigszins rekening gehouden met standplaatsgebondenheid.</w:t>
            </w:r>
          </w:p>
          <w:p w14:paraId="40C4FF80" w14:textId="3D27A1F9" w:rsidR="005A1C54" w:rsidRPr="001B59B1" w:rsidRDefault="003E03E7" w:rsidP="00A46922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  <w:t>10</w:t>
            </w:r>
          </w:p>
        </w:tc>
        <w:tc>
          <w:tcPr>
            <w:tcW w:w="3421" w:type="dxa"/>
          </w:tcPr>
          <w:p w14:paraId="26FCC288" w14:textId="1FCB54D6" w:rsidR="001F2F6C" w:rsidRPr="003E03E7" w:rsidRDefault="001F2F6C" w:rsidP="001F2F6C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Criteria voor keuzes worden gegeven en onderbouwd</w:t>
            </w:r>
          </w:p>
          <w:p w14:paraId="51B28EC9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argumentatie is kloppend en diepgaander.</w:t>
            </w:r>
          </w:p>
          <w:p w14:paraId="0813DB05" w14:textId="77777777" w:rsidR="00A46922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Alle onderdelen vertonen een goede samenhang (</w:t>
            </w:r>
            <w:r w:rsidR="001F2F6C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Opening en afsluiting sporen met elkaar, middendeel leidt tot afsluiting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), er is weinig overbodige informatie.</w:t>
            </w:r>
          </w:p>
          <w:p w14:paraId="608AA44B" w14:textId="39CDEE1C" w:rsidR="005A1C54" w:rsidRPr="003E03E7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 de toelichting blijkt het gekozen perspectief. Er is duidelijk rekening gehouden met standplaatsgebondenheid en hier is op een goede wijze invulling aan gegeven. </w:t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3E03E7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16</w:t>
            </w:r>
          </w:p>
        </w:tc>
        <w:tc>
          <w:tcPr>
            <w:tcW w:w="4000" w:type="dxa"/>
          </w:tcPr>
          <w:p w14:paraId="7CA1B1DA" w14:textId="5196F823" w:rsidR="001F2F6C" w:rsidRPr="003E03E7" w:rsidRDefault="001F2F6C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Criteria voor keuzes worden gegeven en goed onderbouwd.</w:t>
            </w:r>
          </w:p>
          <w:p w14:paraId="46AA601C" w14:textId="2F521FFB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De argumentatie is kloppend en diepgaand. </w:t>
            </w:r>
          </w:p>
          <w:p w14:paraId="290E0A69" w14:textId="77777777" w:rsidR="00A46922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Alle onderdelen vertonen een uitstekende samenhang (</w:t>
            </w:r>
            <w:r w:rsidR="001F2F6C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Opening en afsluiting sporen met elkaar, middendeel leidt tot afsluiting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), er is geen overbodige informatie. </w:t>
            </w:r>
          </w:p>
          <w:p w14:paraId="140872F9" w14:textId="6460B6E7" w:rsidR="00A46922" w:rsidRPr="00DB57CA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 de toelichting blijkt het gekozen perspectief. Er is veel rekening gehouden met standplaatsgebondenheid, ook op detailniveau en hier is op een uitstekende en creatieve wijze invulling aan gegeven. </w:t>
            </w:r>
          </w:p>
          <w:p w14:paraId="41CDC66F" w14:textId="7F10504E" w:rsidR="005A1C54" w:rsidRPr="001B59B1" w:rsidRDefault="003E03E7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2</w:t>
            </w:r>
            <w:r w:rsidR="005A1C54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0</w:t>
            </w:r>
          </w:p>
        </w:tc>
      </w:tr>
      <w:tr w:rsidR="003E03E7" w:rsidRPr="003E03E7" w14:paraId="19ABAF13" w14:textId="77777777" w:rsidTr="00143E59">
        <w:trPr>
          <w:trHeight w:val="1377"/>
        </w:trPr>
        <w:tc>
          <w:tcPr>
            <w:tcW w:w="1562" w:type="dxa"/>
          </w:tcPr>
          <w:p w14:paraId="63ABBFCE" w14:textId="77777777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</w:p>
          <w:p w14:paraId="0B984F72" w14:textId="610C4F4E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  <w:p w14:paraId="256E193E" w14:textId="4EEA3FA4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  <w:r w:rsidRPr="003E03E7">
              <w:rPr>
                <w:rFonts w:cstheme="minorHAnsi"/>
                <w:sz w:val="20"/>
                <w:szCs w:val="20"/>
              </w:rPr>
              <w:t>Taalgebruik</w:t>
            </w:r>
          </w:p>
          <w:p w14:paraId="0BCB1D0B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0A25E759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6B28E538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1AEE95C6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19CA46A" w14:textId="58AC9229" w:rsidR="00557795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Taalgebruik is niet helder, er is sprake van redelijk wat </w:t>
            </w:r>
            <w:r w:rsidR="00A46922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taal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- en spelfouten, taalgebruik is weinig consistent. </w:t>
            </w:r>
          </w:p>
          <w:p w14:paraId="4DF48D4B" w14:textId="2A704F3D" w:rsidR="005A1C54" w:rsidRPr="001B59B1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3222" w:type="dxa"/>
          </w:tcPr>
          <w:p w14:paraId="2953083E" w14:textId="66795B33" w:rsidR="00557795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Taalgebruik is tamelijk helder, vertoont slechts weinig </w:t>
            </w:r>
            <w:r w:rsidR="00A46922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taal</w:t>
            </w: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- en spelfouten, </w:t>
            </w:r>
            <w:r w:rsidR="00A46922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eingszins</w:t>
            </w: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 eigen stijl van de leerling, redelijke zinsbouw. </w:t>
            </w:r>
          </w:p>
          <w:p w14:paraId="39DD5136" w14:textId="615C3466" w:rsidR="005A1C54" w:rsidRPr="001B59B1" w:rsidRDefault="001F2F6C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  <w:t>6</w:t>
            </w:r>
          </w:p>
        </w:tc>
        <w:tc>
          <w:tcPr>
            <w:tcW w:w="3421" w:type="dxa"/>
          </w:tcPr>
          <w:p w14:paraId="7A814BB9" w14:textId="75699EE3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Taalgebruik is helder, vertoont vrijwel geen </w:t>
            </w:r>
            <w:r w:rsidR="00A46922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taal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- en spelfouten, eigen stijl van de leerling, goede zinsbouw</w:t>
            </w:r>
            <w:bookmarkStart w:id="0" w:name="kep8441"/>
            <w:bookmarkEnd w:id="0"/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.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4000" w:type="dxa"/>
          </w:tcPr>
          <w:p w14:paraId="4D42E082" w14:textId="70016E56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Taalgebruik is helder en fraai, vertoont </w:t>
            </w:r>
            <w:r w:rsidR="00A46922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g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een </w:t>
            </w:r>
            <w:r w:rsidR="00A46922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taal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- en spelfouten, </w:t>
            </w:r>
            <w:r w:rsidR="00A46922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fraaie 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eigen stijl van de leerling, goede zinsbouw</w:t>
            </w:r>
            <w:bookmarkStart w:id="1" w:name="kep8447"/>
            <w:bookmarkStart w:id="2" w:name="kep8446"/>
            <w:bookmarkEnd w:id="1"/>
            <w:bookmarkEnd w:id="2"/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.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10</w:t>
            </w:r>
          </w:p>
        </w:tc>
      </w:tr>
      <w:tr w:rsidR="003E03E7" w:rsidRPr="003E03E7" w14:paraId="36709B18" w14:textId="77777777" w:rsidTr="00143E59">
        <w:trPr>
          <w:trHeight w:val="1130"/>
        </w:trPr>
        <w:tc>
          <w:tcPr>
            <w:tcW w:w="1562" w:type="dxa"/>
          </w:tcPr>
          <w:p w14:paraId="54BE1341" w14:textId="77777777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</w:p>
          <w:p w14:paraId="5A9310AF" w14:textId="6A2AF458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  <w:p w14:paraId="6A682931" w14:textId="1AF59648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  <w:r w:rsidRPr="003E03E7">
              <w:rPr>
                <w:rFonts w:cstheme="minorHAnsi"/>
                <w:sz w:val="20"/>
                <w:szCs w:val="20"/>
              </w:rPr>
              <w:t>Verzorging</w:t>
            </w:r>
          </w:p>
          <w:p w14:paraId="39012CF8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7D26FCB5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5BB9AB0E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CE4294D" w14:textId="2A29674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Een of meer onderdelen ontbreken, zijn slordig of niet functioneel. 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0</w:t>
            </w:r>
          </w:p>
        </w:tc>
        <w:tc>
          <w:tcPr>
            <w:tcW w:w="3222" w:type="dxa"/>
          </w:tcPr>
          <w:p w14:paraId="58115A6B" w14:textId="3C231D5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Alle onderdelen zijn aanwezig en functioneel.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6922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2</w:t>
            </w:r>
          </w:p>
        </w:tc>
        <w:tc>
          <w:tcPr>
            <w:tcW w:w="3421" w:type="dxa"/>
          </w:tcPr>
          <w:p w14:paraId="2CC6A6FE" w14:textId="0185A877" w:rsidR="00A46922" w:rsidRPr="003E03E7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Alle onderdelen zijn aanwezig en functioneel. De canon en het venster zijn aansprekend vormgegeven</w:t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4</w:t>
            </w:r>
          </w:p>
        </w:tc>
        <w:tc>
          <w:tcPr>
            <w:tcW w:w="4000" w:type="dxa"/>
          </w:tcPr>
          <w:p w14:paraId="5C013C3B" w14:textId="1208B205" w:rsidR="005A1C54" w:rsidRPr="003E03E7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Alle onderdelen zijn aanwezig en functioneel. De canon en het venster zijn aansprekend en origineel vormgegeven</w:t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5</w:t>
            </w:r>
          </w:p>
        </w:tc>
      </w:tr>
      <w:tr w:rsidR="003E03E7" w:rsidRPr="003E03E7" w14:paraId="71950EAA" w14:textId="77777777" w:rsidTr="001B59B1">
        <w:trPr>
          <w:trHeight w:val="908"/>
        </w:trPr>
        <w:tc>
          <w:tcPr>
            <w:tcW w:w="1562" w:type="dxa"/>
          </w:tcPr>
          <w:p w14:paraId="18FAC4A2" w14:textId="3AD96A33" w:rsidR="005A1C54" w:rsidRPr="003E03E7" w:rsidRDefault="005A1C54" w:rsidP="005A1C54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 xml:space="preserve">Maximumscore: </w:t>
            </w:r>
            <w:r w:rsidR="00EE7371">
              <w:rPr>
                <w:rFonts w:cstheme="minorHAnsi"/>
                <w:b/>
                <w:sz w:val="20"/>
                <w:szCs w:val="20"/>
              </w:rPr>
              <w:t>70</w:t>
            </w:r>
            <w:bookmarkStart w:id="3" w:name="_GoBack"/>
            <w:bookmarkEnd w:id="3"/>
            <w:r w:rsidRPr="003E03E7">
              <w:rPr>
                <w:rFonts w:cstheme="minorHAnsi"/>
                <w:b/>
                <w:sz w:val="20"/>
                <w:szCs w:val="20"/>
              </w:rPr>
              <w:t xml:space="preserve"> punten</w:t>
            </w:r>
          </w:p>
        </w:tc>
        <w:tc>
          <w:tcPr>
            <w:tcW w:w="13724" w:type="dxa"/>
            <w:gridSpan w:val="4"/>
          </w:tcPr>
          <w:p w14:paraId="67563751" w14:textId="39A71544" w:rsidR="00C47E21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Cijfer = punten </w:t>
            </w:r>
            <w:r w:rsid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/70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*9+1</w:t>
            </w:r>
            <w:r w:rsidR="00C47E21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7E6093B4" w14:textId="291D6147" w:rsidR="0031404B" w:rsidRPr="003E03E7" w:rsidRDefault="0031404B" w:rsidP="007636EC">
      <w:pPr>
        <w:rPr>
          <w:rFonts w:cstheme="minorHAnsi"/>
          <w:sz w:val="20"/>
          <w:szCs w:val="20"/>
        </w:rPr>
      </w:pPr>
      <w:bookmarkStart w:id="4" w:name="kep8197"/>
      <w:bookmarkStart w:id="5" w:name="kep8196"/>
      <w:bookmarkStart w:id="6" w:name="kep8198"/>
      <w:bookmarkStart w:id="7" w:name="kep8227"/>
      <w:bookmarkEnd w:id="4"/>
      <w:bookmarkEnd w:id="5"/>
      <w:bookmarkEnd w:id="6"/>
      <w:bookmarkEnd w:id="7"/>
    </w:p>
    <w:sectPr w:rsidR="0031404B" w:rsidRPr="003E03E7" w:rsidSect="00D30F6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96C6" w14:textId="77777777" w:rsidR="00114BC6" w:rsidRDefault="00114BC6" w:rsidP="00B26067">
      <w:pPr>
        <w:spacing w:after="0" w:line="240" w:lineRule="auto"/>
      </w:pPr>
      <w:r>
        <w:separator/>
      </w:r>
    </w:p>
  </w:endnote>
  <w:endnote w:type="continuationSeparator" w:id="0">
    <w:p w14:paraId="43119273" w14:textId="77777777" w:rsidR="00114BC6" w:rsidRDefault="00114BC6" w:rsidP="00B2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7ADC1" w14:textId="77777777" w:rsidR="00114BC6" w:rsidRDefault="00114BC6" w:rsidP="00B26067">
      <w:pPr>
        <w:spacing w:after="0" w:line="240" w:lineRule="auto"/>
      </w:pPr>
      <w:r>
        <w:separator/>
      </w:r>
    </w:p>
  </w:footnote>
  <w:footnote w:type="continuationSeparator" w:id="0">
    <w:p w14:paraId="3511880E" w14:textId="77777777" w:rsidR="00114BC6" w:rsidRDefault="00114BC6" w:rsidP="00B26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DB3"/>
    <w:rsid w:val="00042288"/>
    <w:rsid w:val="00055DB6"/>
    <w:rsid w:val="00073B67"/>
    <w:rsid w:val="0009506E"/>
    <w:rsid w:val="00114BC6"/>
    <w:rsid w:val="00130BC6"/>
    <w:rsid w:val="00143E59"/>
    <w:rsid w:val="001B59B1"/>
    <w:rsid w:val="001C6C39"/>
    <w:rsid w:val="001F2F6C"/>
    <w:rsid w:val="0029483E"/>
    <w:rsid w:val="00312799"/>
    <w:rsid w:val="0031404B"/>
    <w:rsid w:val="00314F7B"/>
    <w:rsid w:val="00391D41"/>
    <w:rsid w:val="003E03E7"/>
    <w:rsid w:val="004151B0"/>
    <w:rsid w:val="004D4D7B"/>
    <w:rsid w:val="004D5DE6"/>
    <w:rsid w:val="004F22E7"/>
    <w:rsid w:val="005230EE"/>
    <w:rsid w:val="005336EE"/>
    <w:rsid w:val="00557795"/>
    <w:rsid w:val="0056100B"/>
    <w:rsid w:val="005A1C54"/>
    <w:rsid w:val="005B182D"/>
    <w:rsid w:val="00647654"/>
    <w:rsid w:val="0069684C"/>
    <w:rsid w:val="006C653C"/>
    <w:rsid w:val="00753F05"/>
    <w:rsid w:val="007636EC"/>
    <w:rsid w:val="007658FF"/>
    <w:rsid w:val="007F5B53"/>
    <w:rsid w:val="008328E0"/>
    <w:rsid w:val="00852006"/>
    <w:rsid w:val="008F5DB3"/>
    <w:rsid w:val="0093241B"/>
    <w:rsid w:val="00932E07"/>
    <w:rsid w:val="00973250"/>
    <w:rsid w:val="00994BCB"/>
    <w:rsid w:val="009A5A11"/>
    <w:rsid w:val="009B23B2"/>
    <w:rsid w:val="00A027F6"/>
    <w:rsid w:val="00A058D3"/>
    <w:rsid w:val="00A457DD"/>
    <w:rsid w:val="00A46922"/>
    <w:rsid w:val="00B11FD9"/>
    <w:rsid w:val="00B26067"/>
    <w:rsid w:val="00B35A27"/>
    <w:rsid w:val="00B538BC"/>
    <w:rsid w:val="00B57F26"/>
    <w:rsid w:val="00B64C55"/>
    <w:rsid w:val="00BC2E2F"/>
    <w:rsid w:val="00BC72E6"/>
    <w:rsid w:val="00C11599"/>
    <w:rsid w:val="00C30813"/>
    <w:rsid w:val="00C4150F"/>
    <w:rsid w:val="00C47E21"/>
    <w:rsid w:val="00C60A4C"/>
    <w:rsid w:val="00C67428"/>
    <w:rsid w:val="00C91C2C"/>
    <w:rsid w:val="00CD25B9"/>
    <w:rsid w:val="00D10A95"/>
    <w:rsid w:val="00D30F66"/>
    <w:rsid w:val="00D30FB4"/>
    <w:rsid w:val="00D43AA1"/>
    <w:rsid w:val="00D567D6"/>
    <w:rsid w:val="00D769FF"/>
    <w:rsid w:val="00DB57CA"/>
    <w:rsid w:val="00DB743D"/>
    <w:rsid w:val="00DE4FC8"/>
    <w:rsid w:val="00E277A5"/>
    <w:rsid w:val="00EE7371"/>
    <w:rsid w:val="00EF2CBE"/>
    <w:rsid w:val="00F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7CF553"/>
  <w15:docId w15:val="{D23D4509-3905-4B42-BF6A-9100B0BC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lattetekst"/>
    <w:rsid w:val="00CD25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D25B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D25B9"/>
  </w:style>
  <w:style w:type="paragraph" w:styleId="Lijstalinea">
    <w:name w:val="List Paragraph"/>
    <w:basedOn w:val="Standaard"/>
    <w:uiPriority w:val="34"/>
    <w:qFormat/>
    <w:rsid w:val="00DB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9211AD9E473469ADCD35C1BCB9797" ma:contentTypeVersion="10" ma:contentTypeDescription="Een nieuw document maken." ma:contentTypeScope="" ma:versionID="5c154c01e6d5715b7e97e3edbb68ffda">
  <xsd:schema xmlns:xsd="http://www.w3.org/2001/XMLSchema" xmlns:xs="http://www.w3.org/2001/XMLSchema" xmlns:p="http://schemas.microsoft.com/office/2006/metadata/properties" xmlns:ns2="7caaf6ef-0aa0-4fa1-802c-8f1cdebf5182" targetNamespace="http://schemas.microsoft.com/office/2006/metadata/properties" ma:root="true" ma:fieldsID="7f4fcfae0ea8a3c156ee55b28251cb26" ns2:_="">
    <xsd:import namespace="7caaf6ef-0aa0-4fa1-802c-8f1cdebf5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f6ef-0aa0-4fa1-802c-8f1cdebf5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BA9B5-2961-4FCA-96F4-9BCBEF58D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EB833-0ACC-49D4-B3A8-23416C7E5E68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caaf6ef-0aa0-4fa1-802c-8f1cdebf518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97AF3F-3D78-4E14-932A-99CF511E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af6ef-0aa0-4fa1-802c-8f1cdebf5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Johanneke</dc:creator>
  <cp:lastModifiedBy>Johanneke Braam</cp:lastModifiedBy>
  <cp:revision>8</cp:revision>
  <dcterms:created xsi:type="dcterms:W3CDTF">2022-01-14T15:01:00Z</dcterms:created>
  <dcterms:modified xsi:type="dcterms:W3CDTF">2022-01-18T13:22:00Z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0x01010044D9211AD9E473469ADCD35C1BCB9797</vt:lpwstr>
  </property>
</Properties>
</file>