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286" w:type="dxa"/>
        <w:tblInd w:w="-601" w:type="dxa"/>
        <w:tblLook w:val="04A0" w:firstRow="1" w:lastRow="0" w:firstColumn="1" w:lastColumn="0" w:noHBand="0" w:noVBand="1"/>
      </w:tblPr>
      <w:tblGrid>
        <w:gridCol w:w="1562"/>
        <w:gridCol w:w="3081"/>
        <w:gridCol w:w="3222"/>
        <w:gridCol w:w="3421"/>
        <w:gridCol w:w="4000"/>
      </w:tblGrid>
      <w:tr w:rsidR="003E03E7" w:rsidRPr="003E03E7" w14:paraId="0FC325BF" w14:textId="77777777" w:rsidTr="00143E59">
        <w:trPr>
          <w:trHeight w:val="240"/>
        </w:trPr>
        <w:tc>
          <w:tcPr>
            <w:tcW w:w="1562" w:type="dxa"/>
          </w:tcPr>
          <w:p w14:paraId="63E38DF3" w14:textId="77777777" w:rsidR="008328E0" w:rsidRPr="003E03E7" w:rsidRDefault="008328E0" w:rsidP="008F5DB3">
            <w:pPr>
              <w:rPr>
                <w:rFonts w:cstheme="minorHAnsi"/>
                <w:b/>
                <w:sz w:val="20"/>
                <w:szCs w:val="20"/>
              </w:rPr>
            </w:pPr>
            <w:r w:rsidRPr="003E03E7">
              <w:rPr>
                <w:rFonts w:cstheme="minorHAnsi"/>
                <w:b/>
                <w:sz w:val="20"/>
                <w:szCs w:val="20"/>
              </w:rPr>
              <w:t>Onderdeel</w:t>
            </w:r>
          </w:p>
        </w:tc>
        <w:tc>
          <w:tcPr>
            <w:tcW w:w="3081" w:type="dxa"/>
          </w:tcPr>
          <w:p w14:paraId="2BC98A75" w14:textId="77777777" w:rsidR="008328E0" w:rsidRPr="003E03E7" w:rsidRDefault="0069684C" w:rsidP="008F5DB3">
            <w:pPr>
              <w:rPr>
                <w:rFonts w:cstheme="minorHAnsi"/>
                <w:b/>
                <w:sz w:val="20"/>
                <w:szCs w:val="20"/>
              </w:rPr>
            </w:pPr>
            <w:r w:rsidRPr="003E03E7">
              <w:rPr>
                <w:rFonts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3222" w:type="dxa"/>
          </w:tcPr>
          <w:p w14:paraId="6DD1628C" w14:textId="77777777" w:rsidR="008328E0" w:rsidRPr="003E03E7" w:rsidRDefault="008328E0" w:rsidP="008F5DB3">
            <w:pPr>
              <w:rPr>
                <w:rFonts w:cstheme="minorHAnsi"/>
                <w:b/>
                <w:sz w:val="20"/>
                <w:szCs w:val="20"/>
              </w:rPr>
            </w:pPr>
            <w:r w:rsidRPr="003E03E7">
              <w:rPr>
                <w:rFonts w:cstheme="minorHAnsi"/>
                <w:b/>
                <w:sz w:val="20"/>
                <w:szCs w:val="20"/>
              </w:rPr>
              <w:t>V</w:t>
            </w:r>
          </w:p>
        </w:tc>
        <w:tc>
          <w:tcPr>
            <w:tcW w:w="3421" w:type="dxa"/>
          </w:tcPr>
          <w:p w14:paraId="14BE8FF8" w14:textId="77777777" w:rsidR="008328E0" w:rsidRPr="003E03E7" w:rsidRDefault="008328E0" w:rsidP="008F5DB3">
            <w:pPr>
              <w:rPr>
                <w:rFonts w:cstheme="minorHAnsi"/>
                <w:b/>
                <w:sz w:val="20"/>
                <w:szCs w:val="20"/>
              </w:rPr>
            </w:pPr>
            <w:r w:rsidRPr="003E03E7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4000" w:type="dxa"/>
          </w:tcPr>
          <w:p w14:paraId="6DA5E15A" w14:textId="77777777" w:rsidR="008328E0" w:rsidRPr="003E03E7" w:rsidRDefault="008328E0" w:rsidP="008F5DB3">
            <w:pPr>
              <w:rPr>
                <w:rFonts w:cstheme="minorHAnsi"/>
                <w:b/>
                <w:sz w:val="20"/>
                <w:szCs w:val="20"/>
              </w:rPr>
            </w:pPr>
            <w:r w:rsidRPr="003E03E7">
              <w:rPr>
                <w:rFonts w:cstheme="minorHAnsi"/>
                <w:b/>
                <w:sz w:val="20"/>
                <w:szCs w:val="20"/>
              </w:rPr>
              <w:t>U</w:t>
            </w:r>
          </w:p>
        </w:tc>
      </w:tr>
      <w:tr w:rsidR="003E03E7" w:rsidRPr="003E03E7" w14:paraId="332D338A" w14:textId="77777777" w:rsidTr="00A457DD">
        <w:trPr>
          <w:trHeight w:val="2565"/>
        </w:trPr>
        <w:tc>
          <w:tcPr>
            <w:tcW w:w="1562" w:type="dxa"/>
          </w:tcPr>
          <w:p w14:paraId="287E4B9D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10279A55" w14:textId="2966D094" w:rsidR="005A1C54" w:rsidRPr="003E03E7" w:rsidRDefault="00DB57CA" w:rsidP="005A1C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  <w:p w14:paraId="7FB6790F" w14:textId="538AB28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  <w:r w:rsidRPr="003E03E7">
              <w:rPr>
                <w:rFonts w:cstheme="minorHAnsi"/>
                <w:sz w:val="20"/>
                <w:szCs w:val="20"/>
              </w:rPr>
              <w:t>Keuze canonvensters</w:t>
            </w:r>
          </w:p>
          <w:p w14:paraId="164F3913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5A586F9E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678EB8AB" w14:textId="25300336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Het merendeel van de gekozen vensters is niet, of maar ten dele relevant voor de geschiedenis van de DDR. </w:t>
            </w:r>
          </w:p>
          <w:p w14:paraId="3DF7F008" w14:textId="4467C004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meeste vensters hebben een geringe symboolwaarde</w:t>
            </w:r>
          </w:p>
          <w:p w14:paraId="0DBED7D8" w14:textId="59D4310D" w:rsidR="005A1C54" w:rsidRPr="001B59B1" w:rsidRDefault="001F2F6C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4</w:t>
            </w:r>
          </w:p>
        </w:tc>
        <w:tc>
          <w:tcPr>
            <w:tcW w:w="3222" w:type="dxa"/>
          </w:tcPr>
          <w:p w14:paraId="3EB50669" w14:textId="1CE6EB1B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Het merendeel van de vensters is relevant voor de geschiedenis van de DDR</w:t>
            </w:r>
          </w:p>
          <w:p w14:paraId="60042F02" w14:textId="08FD2C4D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meeste vensters hebben een redelijke symboolwaarde</w:t>
            </w:r>
          </w:p>
          <w:p w14:paraId="4382B344" w14:textId="0B4BDB18" w:rsidR="005A1C54" w:rsidRPr="001B59B1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1F2F6C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7</w:t>
            </w:r>
          </w:p>
        </w:tc>
        <w:tc>
          <w:tcPr>
            <w:tcW w:w="3421" w:type="dxa"/>
          </w:tcPr>
          <w:p w14:paraId="502314FB" w14:textId="7CBC66FB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Het merendeel van de vensters is relevant voor de geschiedenis van de DDR, waarbij originele eigen keuzes gemaakt zijn. </w:t>
            </w:r>
          </w:p>
          <w:p w14:paraId="7046A1CA" w14:textId="06DFB1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meeste vensters hebben een redelijke symboolwaarde</w:t>
            </w:r>
          </w:p>
          <w:p w14:paraId="6CFAF98F" w14:textId="437A21D0" w:rsidR="005A1C54" w:rsidRPr="001B59B1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1</w:t>
            </w:r>
            <w:r w:rsidR="001F2F6C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0</w:t>
            </w:r>
          </w:p>
        </w:tc>
        <w:tc>
          <w:tcPr>
            <w:tcW w:w="4000" w:type="dxa"/>
          </w:tcPr>
          <w:p w14:paraId="5F8ECBDD" w14:textId="777777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Het merendeel van de vensters is relevant voor de geschiedenis van de DDR, waarbij originele eigen keuzes gemaakt zijn. </w:t>
            </w:r>
          </w:p>
          <w:p w14:paraId="1160E041" w14:textId="10106210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meeste vensters hebben een uitstekende symboolwaarde</w:t>
            </w:r>
          </w:p>
          <w:p w14:paraId="7344D85C" w14:textId="7B06475D" w:rsidR="005A1C54" w:rsidRPr="001B59B1" w:rsidRDefault="00A457DD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1F2F6C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15</w:t>
            </w:r>
          </w:p>
        </w:tc>
      </w:tr>
      <w:tr w:rsidR="003E03E7" w:rsidRPr="003E03E7" w14:paraId="25A98AAC" w14:textId="77777777" w:rsidTr="003706BF">
        <w:trPr>
          <w:trHeight w:val="3290"/>
        </w:trPr>
        <w:tc>
          <w:tcPr>
            <w:tcW w:w="1562" w:type="dxa"/>
          </w:tcPr>
          <w:p w14:paraId="3E73DD8E" w14:textId="77777777" w:rsidR="00DB57CA" w:rsidRDefault="00DB57CA" w:rsidP="005A1C54">
            <w:pPr>
              <w:rPr>
                <w:rFonts w:cstheme="minorHAnsi"/>
                <w:sz w:val="20"/>
                <w:szCs w:val="20"/>
              </w:rPr>
            </w:pPr>
          </w:p>
          <w:p w14:paraId="7F62140E" w14:textId="083798CE" w:rsidR="00DB57CA" w:rsidRDefault="00DB57CA" w:rsidP="005A1C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  <w:p w14:paraId="35C0C0D0" w14:textId="7E0776B6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  <w:r w:rsidRPr="003E03E7">
              <w:rPr>
                <w:rFonts w:cstheme="minorHAnsi"/>
                <w:sz w:val="20"/>
                <w:szCs w:val="20"/>
              </w:rPr>
              <w:t xml:space="preserve">Uitwerking venster </w:t>
            </w:r>
          </w:p>
          <w:p w14:paraId="7CA5D62E" w14:textId="19EA7B30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42C4315" w14:textId="777777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Het venster is niet, of maar ten dele relevant voor de geschiedenis van de DDR.</w:t>
            </w:r>
          </w:p>
          <w:p w14:paraId="4D680796" w14:textId="777777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Venster wordt niet kloppend uitgelegd en/of de symboolwaarde voor (ontwikkelingen in) de geschiedenis wordt niet uitgelegd.</w:t>
            </w:r>
          </w:p>
          <w:p w14:paraId="6CE28C8F" w14:textId="77777777" w:rsidR="00A46922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Uitwerking onvolledig of geeft niet de hoofdzaken weer. Er is sprake van veel overbodige informatie.</w:t>
            </w:r>
          </w:p>
          <w:p w14:paraId="3263519E" w14:textId="77777777" w:rsidR="00A46922" w:rsidRPr="003E03E7" w:rsidRDefault="00A46922" w:rsidP="00A46922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Uit het venster blijkt het gekozen perspectief niet. Er is geen rekening gehouden met standplaatsgebondenheid.</w:t>
            </w:r>
          </w:p>
          <w:p w14:paraId="0116AF35" w14:textId="1CBD11E1" w:rsidR="005A1C54" w:rsidRPr="001B59B1" w:rsidRDefault="00A46922" w:rsidP="00A46922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3E03E7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5</w:t>
            </w:r>
            <w:r w:rsidR="005A1C54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3222" w:type="dxa"/>
          </w:tcPr>
          <w:p w14:paraId="4540DB78" w14:textId="777777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Het venster is relevant voor de geschiedenis van de DDR</w:t>
            </w:r>
          </w:p>
          <w:p w14:paraId="54B0A02D" w14:textId="777777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Venster wordt redelijk kloppend uitgelegd. Het wordt duidelijk wat de symboolwaarde voor (ontwikkelingen in) de geschiedenis is.</w:t>
            </w:r>
          </w:p>
          <w:p w14:paraId="071937C3" w14:textId="03ECC93C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Uitwerking is min of meer volledig. Hoofdzaken zijn benoemd. Er wordt wat overbodige informatie gegeven.</w:t>
            </w:r>
          </w:p>
          <w:p w14:paraId="52E1EF0F" w14:textId="0381FEFA" w:rsidR="00A46922" w:rsidRPr="003E03E7" w:rsidRDefault="00A46922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Uit het venster blijkt het gekozen perspectief. Er is enigszins rekening gehouden met standplaatsgebondenheid. </w:t>
            </w:r>
          </w:p>
          <w:p w14:paraId="5E4C278B" w14:textId="57C75304" w:rsidR="005A1C54" w:rsidRPr="001B59B1" w:rsidRDefault="00A46922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3E03E7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10</w:t>
            </w:r>
          </w:p>
        </w:tc>
        <w:tc>
          <w:tcPr>
            <w:tcW w:w="3421" w:type="dxa"/>
          </w:tcPr>
          <w:p w14:paraId="2885D4A3" w14:textId="777777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Het venster is relevant voor de geschiedenis van de DDR en die relevantie wordt goed toegelicht</w:t>
            </w:r>
          </w:p>
          <w:p w14:paraId="0D49D336" w14:textId="777777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Venster wordt kloppend uitgelegd, er is weinig overbodige informatie en de symboolwaarde voor (ontwikkelingen in) de geschiedenis worden helder geformuleerd uitgelegd.</w:t>
            </w:r>
          </w:p>
          <w:p w14:paraId="313B46B6" w14:textId="7643FCE9" w:rsidR="005A1C54" w:rsidRPr="00DB57CA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Uitwerking is volledig. Hoofdzaken vormen de kern van het venster. </w:t>
            </w:r>
            <w:r w:rsidRPr="00DB57C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Er is weinig overbodige informatie.</w:t>
            </w:r>
          </w:p>
          <w:p w14:paraId="294A6145" w14:textId="3974C248" w:rsidR="00A46922" w:rsidRPr="00DB57CA" w:rsidRDefault="00A46922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Uit het venster blijkt het gekozen perspectief. Er is duidelijk rekening gehouden met standplaatsgebondenheid en hier is op een goede wijze invulling aan gegeven. </w:t>
            </w:r>
          </w:p>
          <w:p w14:paraId="2A95EE8B" w14:textId="1D2ED8D7" w:rsidR="005A1C54" w:rsidRPr="001B59B1" w:rsidRDefault="003E03E7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16</w:t>
            </w:r>
          </w:p>
        </w:tc>
        <w:tc>
          <w:tcPr>
            <w:tcW w:w="4000" w:type="dxa"/>
          </w:tcPr>
          <w:p w14:paraId="2B19A95B" w14:textId="37AAA01D" w:rsidR="005A1C54" w:rsidRPr="00DB57CA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Het venster is zeer relevant voor de geschiedenis van de DDR en die relevantie wordt uitstekend toegelicht.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  <w:t>Venster wordt kloppend uitgelegd, er is geen overbodige informatie en de symboolwaarde voor (ontwikkelingen in) de geschiedenis worden helder geformuleerd uitgelegd.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  <w:t xml:space="preserve">Uitwerking is zeer volledig. Hoofdzaken vormen de kern van het venster. </w:t>
            </w:r>
            <w:r w:rsidRPr="00DB57CA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Er is geen sprake van overbodige informatie.</w:t>
            </w:r>
          </w:p>
          <w:p w14:paraId="2B8925B9" w14:textId="4F4E2437" w:rsidR="00A46922" w:rsidRPr="00DB57CA" w:rsidRDefault="00A46922" w:rsidP="00A46922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Uit het venster blijkt het gekozen perspectief. Er is veel rekening gehouden met standplaatsgebondenheid, ook op detailniveau en hier is op een uitstekende en creatieve wijze invulling aan gegeven. </w:t>
            </w:r>
          </w:p>
          <w:p w14:paraId="54ED10C7" w14:textId="573E64D9" w:rsidR="005A1C54" w:rsidRPr="001B59B1" w:rsidRDefault="00A46922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3E03E7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20</w:t>
            </w:r>
          </w:p>
        </w:tc>
      </w:tr>
      <w:tr w:rsidR="003E03E7" w:rsidRPr="003E03E7" w14:paraId="0E426D77" w14:textId="77777777" w:rsidTr="00A46922">
        <w:trPr>
          <w:trHeight w:val="3393"/>
        </w:trPr>
        <w:tc>
          <w:tcPr>
            <w:tcW w:w="1562" w:type="dxa"/>
          </w:tcPr>
          <w:p w14:paraId="55DC4EBD" w14:textId="77777777" w:rsidR="00DB57CA" w:rsidRDefault="00DB57CA" w:rsidP="005A1C54">
            <w:pPr>
              <w:rPr>
                <w:rFonts w:cstheme="minorHAnsi"/>
                <w:sz w:val="20"/>
                <w:szCs w:val="20"/>
              </w:rPr>
            </w:pPr>
          </w:p>
          <w:p w14:paraId="56A8001F" w14:textId="1AC65EC7" w:rsidR="00DB57CA" w:rsidRDefault="00DB57CA" w:rsidP="005A1C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  <w:p w14:paraId="6EEAEEAC" w14:textId="7FC57F0D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E03E7">
              <w:rPr>
                <w:rFonts w:cstheme="minorHAnsi"/>
                <w:sz w:val="20"/>
                <w:szCs w:val="20"/>
              </w:rPr>
              <w:t>Toelichting  keuzes</w:t>
            </w:r>
            <w:proofErr w:type="gramEnd"/>
          </w:p>
          <w:p w14:paraId="45D3211D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4FAA2D47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4E97CB2B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305A0A50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094A62CD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3E5F035" w14:textId="77777777" w:rsidR="001F2F6C" w:rsidRPr="003E03E7" w:rsidRDefault="001F2F6C" w:rsidP="005A1C54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Criteria voor keuzes worden niet gegeven of niet onderbouwd. </w:t>
            </w:r>
          </w:p>
          <w:p w14:paraId="4E425365" w14:textId="77777777" w:rsidR="00A46922" w:rsidRPr="003E03E7" w:rsidRDefault="005A1C54" w:rsidP="001F2F6C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argumentatie is niet sluitend of bevat veel fouten.</w:t>
            </w:r>
            <w:r w:rsidR="001F2F6C"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 </w:t>
            </w: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br/>
            </w:r>
          </w:p>
          <w:p w14:paraId="61861E22" w14:textId="45C09A19" w:rsidR="00A46922" w:rsidRPr="003E03E7" w:rsidRDefault="00A46922" w:rsidP="00A46922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Uit de toelichting blijkt het gekozen perspectief niet. Er is geen rekening gehouden met standplaatsgebondenheid.</w:t>
            </w:r>
          </w:p>
          <w:p w14:paraId="6B5F6031" w14:textId="77777777" w:rsidR="00A457DD" w:rsidRDefault="003E03E7" w:rsidP="001F2F6C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br/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br/>
            </w:r>
          </w:p>
          <w:p w14:paraId="4CD360AA" w14:textId="77777777" w:rsidR="00A457DD" w:rsidRDefault="00A457DD" w:rsidP="001F2F6C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</w:p>
          <w:p w14:paraId="05BD0DBF" w14:textId="6B13BA90" w:rsidR="005A1C54" w:rsidRPr="001B59B1" w:rsidRDefault="003E03E7" w:rsidP="001F2F6C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/>
              </w:rPr>
            </w:pPr>
            <w:r w:rsidRPr="001B59B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/>
              </w:rPr>
              <w:t>5</w:t>
            </w:r>
          </w:p>
        </w:tc>
        <w:tc>
          <w:tcPr>
            <w:tcW w:w="3222" w:type="dxa"/>
          </w:tcPr>
          <w:p w14:paraId="1CD03B7B" w14:textId="00F806FF" w:rsidR="001F2F6C" w:rsidRPr="003E03E7" w:rsidRDefault="001F2F6C" w:rsidP="005A1C54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Criteria voor keuzes worden gegeven. </w:t>
            </w:r>
          </w:p>
          <w:p w14:paraId="6DC7D9D5" w14:textId="77777777" w:rsidR="001F2F6C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De argumentatie sluitend en is voor het grootste gedeelte kloppend, maar wel oppervlakkig of onvolledig. </w:t>
            </w:r>
          </w:p>
          <w:p w14:paraId="1F06911B" w14:textId="77777777" w:rsidR="00A46922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Er is een redelijke samenhang (Opening en </w:t>
            </w:r>
            <w:r w:rsidR="001F2F6C"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afsluiting</w:t>
            </w: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 sporen met elkaar, middendeel leidt tot </w:t>
            </w:r>
            <w:r w:rsidR="001F2F6C"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afsluiting</w:t>
            </w: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).</w:t>
            </w:r>
          </w:p>
          <w:p w14:paraId="5259F1D4" w14:textId="77777777" w:rsidR="00A46922" w:rsidRPr="003E03E7" w:rsidRDefault="00A46922" w:rsidP="00A46922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Uit de toelichting blijkt het gekozen perspectief. Er is enigszins rekening gehouden met standplaatsgebondenheid.</w:t>
            </w:r>
          </w:p>
          <w:p w14:paraId="40C4FF80" w14:textId="3D27A1F9" w:rsidR="005A1C54" w:rsidRPr="001B59B1" w:rsidRDefault="003E03E7" w:rsidP="00A46922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br/>
            </w:r>
            <w:r w:rsidRPr="001B59B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/>
              </w:rPr>
              <w:t>10</w:t>
            </w:r>
          </w:p>
        </w:tc>
        <w:tc>
          <w:tcPr>
            <w:tcW w:w="3421" w:type="dxa"/>
          </w:tcPr>
          <w:p w14:paraId="26FCC288" w14:textId="1FCB54D6" w:rsidR="001F2F6C" w:rsidRPr="003E03E7" w:rsidRDefault="001F2F6C" w:rsidP="001F2F6C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Criteria voor keuzes worden gegeven en onderbouwd</w:t>
            </w:r>
          </w:p>
          <w:p w14:paraId="51B28EC9" w14:textId="7777777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De argumentatie is kloppend en diepgaander.</w:t>
            </w:r>
          </w:p>
          <w:p w14:paraId="0813DB05" w14:textId="77777777" w:rsidR="00A46922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Alle onderdelen vertonen een goede samenhang (</w:t>
            </w:r>
            <w:r w:rsidR="001F2F6C"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Opening en afsluiting sporen met elkaar, middendeel leidt tot afsluiting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), er is weinig overbodige informatie.</w:t>
            </w:r>
          </w:p>
          <w:p w14:paraId="608AA44B" w14:textId="39CDEE1C" w:rsidR="005A1C54" w:rsidRPr="003E03E7" w:rsidRDefault="00A46922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Uit de toelichting blijkt het gekozen perspectief. Er is duidelijk rekening gehouden met standplaatsgebondenheid en hier is op een goede wijze invulling aan gegeven. </w:t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3E03E7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16</w:t>
            </w:r>
          </w:p>
        </w:tc>
        <w:tc>
          <w:tcPr>
            <w:tcW w:w="4000" w:type="dxa"/>
          </w:tcPr>
          <w:p w14:paraId="7CA1B1DA" w14:textId="5196F823" w:rsidR="001F2F6C" w:rsidRPr="003E03E7" w:rsidRDefault="001F2F6C" w:rsidP="005A1C54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Criteria voor keuzes worden gegeven en goed onderbouwd.</w:t>
            </w:r>
          </w:p>
          <w:p w14:paraId="46AA601C" w14:textId="2F521FFB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De argumentatie is kloppend en diepgaand. </w:t>
            </w:r>
          </w:p>
          <w:p w14:paraId="290E0A69" w14:textId="77777777" w:rsidR="00A46922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Alle onderdelen vertonen een uitstekende samenhang (</w:t>
            </w:r>
            <w:r w:rsidR="001F2F6C"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Opening en afsluiting sporen met elkaar, middendeel leidt tot afsluiting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), er is geen overbodige informatie. </w:t>
            </w:r>
          </w:p>
          <w:p w14:paraId="140872F9" w14:textId="6460B6E7" w:rsidR="00A46922" w:rsidRPr="00DB57CA" w:rsidRDefault="00A46922" w:rsidP="00A46922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Uit de toelichting blijkt het gekozen perspectief. Er is veel rekening gehouden met standplaatsgebondenheid, ook op detailniveau en hier is op een uitstekende en creatieve wijze invulling aan gegeven. </w:t>
            </w:r>
          </w:p>
          <w:p w14:paraId="41CDC66F" w14:textId="7F10504E" w:rsidR="005A1C54" w:rsidRPr="001B59B1" w:rsidRDefault="003E03E7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2</w:t>
            </w:r>
            <w:r w:rsidR="005A1C54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0</w:t>
            </w:r>
          </w:p>
        </w:tc>
      </w:tr>
      <w:tr w:rsidR="003E03E7" w:rsidRPr="003E03E7" w14:paraId="19ABAF13" w14:textId="77777777" w:rsidTr="00143E59">
        <w:trPr>
          <w:trHeight w:val="1377"/>
        </w:trPr>
        <w:tc>
          <w:tcPr>
            <w:tcW w:w="1562" w:type="dxa"/>
          </w:tcPr>
          <w:p w14:paraId="63ABBFCE" w14:textId="77777777" w:rsidR="00DB57CA" w:rsidRDefault="00DB57CA" w:rsidP="005A1C54">
            <w:pPr>
              <w:rPr>
                <w:rFonts w:cstheme="minorHAnsi"/>
                <w:sz w:val="20"/>
                <w:szCs w:val="20"/>
              </w:rPr>
            </w:pPr>
          </w:p>
          <w:p w14:paraId="0B984F72" w14:textId="610C4F4E" w:rsidR="00DB57CA" w:rsidRDefault="00DB57CA" w:rsidP="005A1C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  <w:p w14:paraId="256E193E" w14:textId="4EEA3FA4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  <w:r w:rsidRPr="003E03E7">
              <w:rPr>
                <w:rFonts w:cstheme="minorHAnsi"/>
                <w:sz w:val="20"/>
                <w:szCs w:val="20"/>
              </w:rPr>
              <w:t>Taalgebruik</w:t>
            </w:r>
          </w:p>
          <w:p w14:paraId="0BCB1D0B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0A25E759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6B28E538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1AEE95C6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19CA46A" w14:textId="58AC9229" w:rsidR="00557795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Taalgebruik is niet helder, er is sprake van redelijk wat </w:t>
            </w:r>
            <w:r w:rsidR="00A46922"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taal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- en spelfouten, taalgebruik is weinig consistent. </w:t>
            </w:r>
          </w:p>
          <w:p w14:paraId="4DF48D4B" w14:textId="2A704F3D" w:rsidR="005A1C54" w:rsidRPr="001B59B1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3</w:t>
            </w:r>
          </w:p>
        </w:tc>
        <w:tc>
          <w:tcPr>
            <w:tcW w:w="3222" w:type="dxa"/>
          </w:tcPr>
          <w:p w14:paraId="2953083E" w14:textId="66795B33" w:rsidR="00557795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Taalgebruik is tamelijk helder, vertoont slechts weinig </w:t>
            </w:r>
            <w:r w:rsidR="00A46922"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taal</w:t>
            </w:r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- en spelfouten, </w:t>
            </w:r>
            <w:proofErr w:type="spellStart"/>
            <w:r w:rsidR="00A46922"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>eingszins</w:t>
            </w:r>
            <w:proofErr w:type="spellEnd"/>
            <w:r w:rsidRPr="003E03E7">
              <w:rPr>
                <w:rFonts w:asciiTheme="minorHAnsi" w:hAnsiTheme="minorHAnsi" w:cstheme="minorHAnsi"/>
                <w:iCs/>
                <w:sz w:val="20"/>
                <w:szCs w:val="20"/>
                <w:lang w:val="nl-NL"/>
              </w:rPr>
              <w:t xml:space="preserve"> eigen stijl van de leerling, redelijke zinsbouw. </w:t>
            </w:r>
          </w:p>
          <w:p w14:paraId="39DD5136" w14:textId="615C3466" w:rsidR="005A1C54" w:rsidRPr="001B59B1" w:rsidRDefault="001F2F6C" w:rsidP="005A1C54">
            <w:pPr>
              <w:pStyle w:val="TableContents"/>
              <w:spacing w:after="283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/>
              </w:rPr>
            </w:pPr>
            <w:r w:rsidRPr="001B59B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/>
              </w:rPr>
              <w:t>6</w:t>
            </w:r>
          </w:p>
        </w:tc>
        <w:tc>
          <w:tcPr>
            <w:tcW w:w="3421" w:type="dxa"/>
          </w:tcPr>
          <w:p w14:paraId="7A814BB9" w14:textId="75699EE3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Taalgebruik is helder, vertoont vrijwel geen </w:t>
            </w:r>
            <w:r w:rsidR="00A46922"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taal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- en spelfouten, eigen stijl van de leerling, goede zinsbouw</w:t>
            </w:r>
            <w:bookmarkStart w:id="0" w:name="kep8441"/>
            <w:bookmarkEnd w:id="0"/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.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8</w:t>
            </w:r>
          </w:p>
        </w:tc>
        <w:tc>
          <w:tcPr>
            <w:tcW w:w="4000" w:type="dxa"/>
          </w:tcPr>
          <w:p w14:paraId="4D42E082" w14:textId="70016E56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Taalgebruik is helder en fraai, vertoont </w:t>
            </w:r>
            <w:r w:rsidR="00A46922"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g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een </w:t>
            </w:r>
            <w:r w:rsidR="00A46922"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taal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- en spelfouten, </w:t>
            </w:r>
            <w:r w:rsidR="00A46922"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fraaie 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eigen stijl van de leerling, goede zinsbouw</w:t>
            </w:r>
            <w:bookmarkStart w:id="1" w:name="kep8447"/>
            <w:bookmarkStart w:id="2" w:name="kep8446"/>
            <w:bookmarkEnd w:id="1"/>
            <w:bookmarkEnd w:id="2"/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.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10</w:t>
            </w:r>
          </w:p>
        </w:tc>
      </w:tr>
      <w:tr w:rsidR="003E03E7" w:rsidRPr="003E03E7" w14:paraId="36709B18" w14:textId="77777777" w:rsidTr="00143E59">
        <w:trPr>
          <w:trHeight w:val="1130"/>
        </w:trPr>
        <w:tc>
          <w:tcPr>
            <w:tcW w:w="1562" w:type="dxa"/>
          </w:tcPr>
          <w:p w14:paraId="54BE1341" w14:textId="77777777" w:rsidR="00DB57CA" w:rsidRDefault="00DB57CA" w:rsidP="005A1C54">
            <w:pPr>
              <w:rPr>
                <w:rFonts w:cstheme="minorHAnsi"/>
                <w:sz w:val="20"/>
                <w:szCs w:val="20"/>
              </w:rPr>
            </w:pPr>
          </w:p>
          <w:p w14:paraId="5A9310AF" w14:textId="6A2AF458" w:rsidR="00DB57CA" w:rsidRDefault="00DB57CA" w:rsidP="005A1C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  <w:p w14:paraId="6A682931" w14:textId="1AF59648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  <w:r w:rsidRPr="003E03E7">
              <w:rPr>
                <w:rFonts w:cstheme="minorHAnsi"/>
                <w:sz w:val="20"/>
                <w:szCs w:val="20"/>
              </w:rPr>
              <w:t>Verzorging</w:t>
            </w:r>
          </w:p>
          <w:p w14:paraId="39012CF8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7D26FCB5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  <w:p w14:paraId="5BB9AB0E" w14:textId="77777777" w:rsidR="005A1C54" w:rsidRPr="003E03E7" w:rsidRDefault="005A1C54" w:rsidP="005A1C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1" w:type="dxa"/>
          </w:tcPr>
          <w:p w14:paraId="7CE4294D" w14:textId="2A29674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Een of meer onderdelen ontbreken, zijn slordig of niet functioneel. 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0</w:t>
            </w:r>
          </w:p>
        </w:tc>
        <w:tc>
          <w:tcPr>
            <w:tcW w:w="3222" w:type="dxa"/>
          </w:tcPr>
          <w:p w14:paraId="58115A6B" w14:textId="3C231D57" w:rsidR="005A1C54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Alle onderdelen zijn aanwezig en functioneel.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6922"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2</w:t>
            </w:r>
          </w:p>
        </w:tc>
        <w:tc>
          <w:tcPr>
            <w:tcW w:w="3421" w:type="dxa"/>
          </w:tcPr>
          <w:p w14:paraId="2CC6A6FE" w14:textId="0185A877" w:rsidR="00A46922" w:rsidRPr="003E03E7" w:rsidRDefault="00A46922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Alle onderdelen zijn aanwezig en functioneel. De canon en het venster zijn aansprekend vormgegeven</w:t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4</w:t>
            </w:r>
          </w:p>
        </w:tc>
        <w:tc>
          <w:tcPr>
            <w:tcW w:w="4000" w:type="dxa"/>
          </w:tcPr>
          <w:p w14:paraId="5C013C3B" w14:textId="1208B205" w:rsidR="005A1C54" w:rsidRPr="003E03E7" w:rsidRDefault="00A46922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Alle onderdelen zijn aanwezig en functioneel. De canon en het venster zijn aansprekend en origineel vormgegeven</w:t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="00A457DD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br/>
            </w:r>
            <w:r w:rsidRPr="001B59B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>5</w:t>
            </w:r>
          </w:p>
        </w:tc>
      </w:tr>
      <w:tr w:rsidR="003E03E7" w:rsidRPr="003E03E7" w14:paraId="71950EAA" w14:textId="77777777" w:rsidTr="001B59B1">
        <w:trPr>
          <w:trHeight w:val="908"/>
        </w:trPr>
        <w:tc>
          <w:tcPr>
            <w:tcW w:w="1562" w:type="dxa"/>
          </w:tcPr>
          <w:p w14:paraId="18FAC4A2" w14:textId="3AD96A33" w:rsidR="005A1C54" w:rsidRPr="003E03E7" w:rsidRDefault="005A1C54" w:rsidP="005A1C54">
            <w:pPr>
              <w:rPr>
                <w:rFonts w:cstheme="minorHAnsi"/>
                <w:b/>
                <w:sz w:val="20"/>
                <w:szCs w:val="20"/>
              </w:rPr>
            </w:pPr>
            <w:r w:rsidRPr="003E03E7">
              <w:rPr>
                <w:rFonts w:cstheme="minorHAnsi"/>
                <w:b/>
                <w:sz w:val="20"/>
                <w:szCs w:val="20"/>
              </w:rPr>
              <w:t xml:space="preserve">Maximumscore: </w:t>
            </w:r>
            <w:r w:rsidR="00EE7371">
              <w:rPr>
                <w:rFonts w:cstheme="minorHAnsi"/>
                <w:b/>
                <w:sz w:val="20"/>
                <w:szCs w:val="20"/>
              </w:rPr>
              <w:t>70</w:t>
            </w:r>
            <w:r w:rsidRPr="003E03E7">
              <w:rPr>
                <w:rFonts w:cstheme="minorHAnsi"/>
                <w:b/>
                <w:sz w:val="20"/>
                <w:szCs w:val="20"/>
              </w:rPr>
              <w:t xml:space="preserve"> punten</w:t>
            </w:r>
          </w:p>
        </w:tc>
        <w:tc>
          <w:tcPr>
            <w:tcW w:w="13724" w:type="dxa"/>
            <w:gridSpan w:val="4"/>
          </w:tcPr>
          <w:p w14:paraId="67563751" w14:textId="39A71544" w:rsidR="00C47E21" w:rsidRPr="003E03E7" w:rsidRDefault="005A1C54" w:rsidP="005A1C54">
            <w:pPr>
              <w:pStyle w:val="TableContents"/>
              <w:spacing w:after="283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Cijfer = punten </w:t>
            </w:r>
            <w:r w:rsid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/70</w:t>
            </w:r>
            <w:r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*9+1</w:t>
            </w:r>
            <w:r w:rsidR="00C47E21" w:rsidRPr="003E03E7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7E6093B4" w14:textId="291D6147" w:rsidR="0031404B" w:rsidRPr="003E03E7" w:rsidRDefault="0031404B" w:rsidP="007636EC">
      <w:pPr>
        <w:rPr>
          <w:rFonts w:cstheme="minorHAnsi"/>
          <w:sz w:val="20"/>
          <w:szCs w:val="20"/>
        </w:rPr>
      </w:pPr>
      <w:bookmarkStart w:id="3" w:name="kep8197"/>
      <w:bookmarkStart w:id="4" w:name="kep8196"/>
      <w:bookmarkStart w:id="5" w:name="kep8198"/>
      <w:bookmarkStart w:id="6" w:name="kep8227"/>
      <w:bookmarkEnd w:id="3"/>
      <w:bookmarkEnd w:id="4"/>
      <w:bookmarkEnd w:id="5"/>
      <w:bookmarkEnd w:id="6"/>
    </w:p>
    <w:sectPr w:rsidR="0031404B" w:rsidRPr="003E03E7" w:rsidSect="006D4CF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8F17" w14:textId="77777777" w:rsidR="006D4CF2" w:rsidRDefault="006D4CF2" w:rsidP="00B26067">
      <w:pPr>
        <w:spacing w:after="0" w:line="240" w:lineRule="auto"/>
      </w:pPr>
      <w:r>
        <w:separator/>
      </w:r>
    </w:p>
  </w:endnote>
  <w:endnote w:type="continuationSeparator" w:id="0">
    <w:p w14:paraId="71030796" w14:textId="77777777" w:rsidR="006D4CF2" w:rsidRDefault="006D4CF2" w:rsidP="00B2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F0EE" w14:textId="77777777" w:rsidR="006D4CF2" w:rsidRDefault="006D4CF2" w:rsidP="00B26067">
      <w:pPr>
        <w:spacing w:after="0" w:line="240" w:lineRule="auto"/>
      </w:pPr>
      <w:r>
        <w:separator/>
      </w:r>
    </w:p>
  </w:footnote>
  <w:footnote w:type="continuationSeparator" w:id="0">
    <w:p w14:paraId="72D78ED8" w14:textId="77777777" w:rsidR="006D4CF2" w:rsidRDefault="006D4CF2" w:rsidP="00B26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B3"/>
    <w:rsid w:val="00042288"/>
    <w:rsid w:val="00055DB6"/>
    <w:rsid w:val="00073B67"/>
    <w:rsid w:val="0009506E"/>
    <w:rsid w:val="00114BC6"/>
    <w:rsid w:val="00130BC6"/>
    <w:rsid w:val="00143E59"/>
    <w:rsid w:val="001B59B1"/>
    <w:rsid w:val="001C6C39"/>
    <w:rsid w:val="001F2F6C"/>
    <w:rsid w:val="0029483E"/>
    <w:rsid w:val="00312799"/>
    <w:rsid w:val="0031404B"/>
    <w:rsid w:val="00314F7B"/>
    <w:rsid w:val="00391D41"/>
    <w:rsid w:val="003E03E7"/>
    <w:rsid w:val="004151B0"/>
    <w:rsid w:val="004D4D7B"/>
    <w:rsid w:val="004D5DE6"/>
    <w:rsid w:val="004F22E7"/>
    <w:rsid w:val="005230EE"/>
    <w:rsid w:val="005336EE"/>
    <w:rsid w:val="00557795"/>
    <w:rsid w:val="0056100B"/>
    <w:rsid w:val="005A1C54"/>
    <w:rsid w:val="005B182D"/>
    <w:rsid w:val="00647654"/>
    <w:rsid w:val="0069684C"/>
    <w:rsid w:val="006C653C"/>
    <w:rsid w:val="006D4CF2"/>
    <w:rsid w:val="00753F05"/>
    <w:rsid w:val="007636EC"/>
    <w:rsid w:val="007658FF"/>
    <w:rsid w:val="007F5B53"/>
    <w:rsid w:val="008328E0"/>
    <w:rsid w:val="00852006"/>
    <w:rsid w:val="008F5DB3"/>
    <w:rsid w:val="0093241B"/>
    <w:rsid w:val="00932E07"/>
    <w:rsid w:val="00973250"/>
    <w:rsid w:val="00994BCB"/>
    <w:rsid w:val="009A5A11"/>
    <w:rsid w:val="009B23B2"/>
    <w:rsid w:val="00A027F6"/>
    <w:rsid w:val="00A058D3"/>
    <w:rsid w:val="00A457DD"/>
    <w:rsid w:val="00A46922"/>
    <w:rsid w:val="00B11FD9"/>
    <w:rsid w:val="00B26067"/>
    <w:rsid w:val="00B35A27"/>
    <w:rsid w:val="00B538BC"/>
    <w:rsid w:val="00B57F26"/>
    <w:rsid w:val="00B64C55"/>
    <w:rsid w:val="00BC2E2F"/>
    <w:rsid w:val="00BC72E6"/>
    <w:rsid w:val="00C11599"/>
    <w:rsid w:val="00C30813"/>
    <w:rsid w:val="00C4150F"/>
    <w:rsid w:val="00C47E21"/>
    <w:rsid w:val="00C60A4C"/>
    <w:rsid w:val="00C67428"/>
    <w:rsid w:val="00C91C2C"/>
    <w:rsid w:val="00CD25B9"/>
    <w:rsid w:val="00D10A95"/>
    <w:rsid w:val="00D30F66"/>
    <w:rsid w:val="00D30FB4"/>
    <w:rsid w:val="00D43AA1"/>
    <w:rsid w:val="00D567D6"/>
    <w:rsid w:val="00D769FF"/>
    <w:rsid w:val="00D9278E"/>
    <w:rsid w:val="00DB57CA"/>
    <w:rsid w:val="00DB743D"/>
    <w:rsid w:val="00DE4FC8"/>
    <w:rsid w:val="00E277A5"/>
    <w:rsid w:val="00EE7371"/>
    <w:rsid w:val="00EF2CBE"/>
    <w:rsid w:val="00F0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CF553"/>
  <w15:docId w15:val="{D23D4509-3905-4B42-BF6A-9100B0BC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lattetekst"/>
    <w:rsid w:val="00CD25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D25B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D25B9"/>
  </w:style>
  <w:style w:type="paragraph" w:styleId="Lijstalinea">
    <w:name w:val="List Paragraph"/>
    <w:basedOn w:val="Standaard"/>
    <w:uiPriority w:val="34"/>
    <w:qFormat/>
    <w:rsid w:val="00DB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9211AD9E473469ADCD35C1BCB9797" ma:contentTypeVersion="10" ma:contentTypeDescription="Een nieuw document maken." ma:contentTypeScope="" ma:versionID="5c154c01e6d5715b7e97e3edbb68ffda">
  <xsd:schema xmlns:xsd="http://www.w3.org/2001/XMLSchema" xmlns:xs="http://www.w3.org/2001/XMLSchema" xmlns:p="http://schemas.microsoft.com/office/2006/metadata/properties" xmlns:ns2="7caaf6ef-0aa0-4fa1-802c-8f1cdebf5182" targetNamespace="http://schemas.microsoft.com/office/2006/metadata/properties" ma:root="true" ma:fieldsID="7f4fcfae0ea8a3c156ee55b28251cb26" ns2:_="">
    <xsd:import namespace="7caaf6ef-0aa0-4fa1-802c-8f1cdebf5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f6ef-0aa0-4fa1-802c-8f1cdebf5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7AF3F-3D78-4E14-932A-99CF511EB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af6ef-0aa0-4fa1-802c-8f1cdebf5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EB833-0ACC-49D4-B3A8-23416C7E5E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ABA9B5-2961-4FCA-96F4-9BCBEF58D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4371</Characters>
  <Application>Microsoft Office Word</Application>
  <DocSecurity>0</DocSecurity>
  <Lines>208</Lines>
  <Paragraphs>135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Johanneke</dc:creator>
  <cp:lastModifiedBy>Tuithof, M. (Mike)</cp:lastModifiedBy>
  <cp:revision>2</cp:revision>
  <dcterms:created xsi:type="dcterms:W3CDTF">2024-01-19T11:52:00Z</dcterms:created>
  <dcterms:modified xsi:type="dcterms:W3CDTF">2024-01-19T11:52:00Z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0x01010044D9211AD9E473469ADCD35C1BCB9797</vt:lpwstr>
  </property>
</Properties>
</file>